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04BE" w14:textId="271DC0F5" w:rsidR="007D3AAC" w:rsidRDefault="007D3AAC" w:rsidP="007D3AAC">
      <w:r>
        <w:t xml:space="preserve">This seminar </w:t>
      </w:r>
      <w:r w:rsidRPr="00BE7154">
        <w:t xml:space="preserve">course examines </w:t>
      </w:r>
      <w:r>
        <w:t>bodies</w:t>
      </w:r>
      <w:r w:rsidRPr="00BE7154">
        <w:t xml:space="preserve"> and embodiment through a </w:t>
      </w:r>
      <w:r w:rsidRPr="00BE7154">
        <w:rPr>
          <w:i/>
          <w:iCs/>
        </w:rPr>
        <w:t>sociological</w:t>
      </w:r>
      <w:r w:rsidRPr="00BE7154">
        <w:t xml:space="preserve"> lens</w:t>
      </w:r>
      <w:r>
        <w:t xml:space="preserve">.  We will cover topics such as: </w:t>
      </w:r>
      <w:r w:rsidRPr="00BE7154">
        <w:t>social construction of bodies,</w:t>
      </w:r>
      <w:r>
        <w:t xml:space="preserve"> theories of embodiment,</w:t>
      </w:r>
      <w:r w:rsidRPr="00BE7154">
        <w:t xml:space="preserve"> raced and gendered bodies, body modification (tattooing, plastic surgery, piercing)</w:t>
      </w:r>
      <w:r>
        <w:t xml:space="preserve">, </w:t>
      </w:r>
      <w:r w:rsidRPr="00BE7154">
        <w:t xml:space="preserve">body projects (weight, body building), laboring bodies, </w:t>
      </w:r>
      <w:r>
        <w:t xml:space="preserve">human and non-human bodies, societal discipline of bodies, societally mediated embodied experience, human reproduction, </w:t>
      </w:r>
      <w:r w:rsidRPr="004563E2">
        <w:t>virtual bodies, productivity of bodies, changing bodies, life course and the body, body and spirit/soul, unequal bodies, micro and macro sociological analysis of the political, and social and individual bodies.</w:t>
      </w:r>
    </w:p>
    <w:p w14:paraId="710812B3" w14:textId="5859FFCB" w:rsidR="00D466C8" w:rsidRPr="00C35405" w:rsidRDefault="007D3AAC" w:rsidP="00C35405">
      <w:pPr>
        <w:pStyle w:val="Heading1"/>
      </w:pPr>
      <w:r>
        <w:t>Instructor Information</w:t>
      </w:r>
    </w:p>
    <w:tbl>
      <w:tblPr>
        <w:tblStyle w:val="TableGrid"/>
        <w:tblW w:w="5000" w:type="pct"/>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Bio"/>
        <w:tblDescription w:val="Profile title, experience summary, education, certifications, reviews, digitial photo of you"/>
      </w:tblPr>
      <w:tblGrid>
        <w:gridCol w:w="3142"/>
        <w:gridCol w:w="6208"/>
      </w:tblGrid>
      <w:tr w:rsidR="006A79B1" w:rsidRPr="003733A6" w14:paraId="5069CF09" w14:textId="77777777" w:rsidTr="00784321">
        <w:tc>
          <w:tcPr>
            <w:tcW w:w="3142" w:type="dxa"/>
            <w:shd w:val="clear" w:color="auto" w:fill="1C6194" w:themeFill="accent6"/>
          </w:tcPr>
          <w:p w14:paraId="5DC24061" w14:textId="6A2E7A2F" w:rsidR="006A79B1" w:rsidRPr="003733A6" w:rsidRDefault="007D3AAC" w:rsidP="0045676C">
            <w:pPr>
              <w:pStyle w:val="rowheading"/>
            </w:pPr>
            <w:r>
              <w:t>Name</w:t>
            </w:r>
          </w:p>
        </w:tc>
        <w:tc>
          <w:tcPr>
            <w:tcW w:w="6208" w:type="dxa"/>
          </w:tcPr>
          <w:p w14:paraId="002CC40D" w14:textId="490A4DA1" w:rsidR="006A79B1" w:rsidRPr="003733A6" w:rsidRDefault="00784321" w:rsidP="0045676C">
            <w:pPr>
              <w:pStyle w:val="Row"/>
            </w:pPr>
            <w:r>
              <w:t>Dr. Julia Rogers</w:t>
            </w:r>
          </w:p>
        </w:tc>
      </w:tr>
      <w:tr w:rsidR="006A79B1" w:rsidRPr="003733A6" w14:paraId="6D7C8F8D" w14:textId="77777777" w:rsidTr="00784321">
        <w:tc>
          <w:tcPr>
            <w:tcW w:w="3142" w:type="dxa"/>
            <w:shd w:val="clear" w:color="auto" w:fill="1C6194" w:themeFill="accent6"/>
          </w:tcPr>
          <w:p w14:paraId="06385B79" w14:textId="04A465B0" w:rsidR="006A79B1" w:rsidRPr="003733A6" w:rsidRDefault="007D3AAC" w:rsidP="0045676C">
            <w:pPr>
              <w:pStyle w:val="rowheading"/>
            </w:pPr>
            <w:r>
              <w:t>Email</w:t>
            </w:r>
          </w:p>
        </w:tc>
        <w:tc>
          <w:tcPr>
            <w:tcW w:w="6208" w:type="dxa"/>
          </w:tcPr>
          <w:p w14:paraId="3B19F298" w14:textId="12F1FA61" w:rsidR="006A79B1" w:rsidRPr="003733A6" w:rsidRDefault="00784321" w:rsidP="0045676C">
            <w:pPr>
              <w:pStyle w:val="Row"/>
            </w:pPr>
            <w:r>
              <w:t>jerogers@ucsd.edu</w:t>
            </w:r>
          </w:p>
        </w:tc>
      </w:tr>
      <w:tr w:rsidR="006A79B1" w:rsidRPr="003733A6" w14:paraId="5D8536CD" w14:textId="77777777" w:rsidTr="00784321">
        <w:tc>
          <w:tcPr>
            <w:tcW w:w="3142" w:type="dxa"/>
            <w:shd w:val="clear" w:color="auto" w:fill="1C6194" w:themeFill="accent6"/>
          </w:tcPr>
          <w:p w14:paraId="5E9C085C" w14:textId="22A85921" w:rsidR="006A79B1" w:rsidRPr="003733A6" w:rsidRDefault="007D3AAC" w:rsidP="0045676C">
            <w:pPr>
              <w:pStyle w:val="rowheading"/>
            </w:pPr>
            <w:r>
              <w:t>Office Location</w:t>
            </w:r>
          </w:p>
        </w:tc>
        <w:tc>
          <w:tcPr>
            <w:tcW w:w="6208" w:type="dxa"/>
          </w:tcPr>
          <w:p w14:paraId="22F9A03E" w14:textId="0C35B42B" w:rsidR="006A79B1" w:rsidRPr="003733A6" w:rsidRDefault="00784321" w:rsidP="0045676C">
            <w:pPr>
              <w:pStyle w:val="Row"/>
            </w:pPr>
            <w:r>
              <w:t>SSB 467</w:t>
            </w:r>
          </w:p>
        </w:tc>
      </w:tr>
      <w:tr w:rsidR="006A79B1" w:rsidRPr="003733A6" w14:paraId="26E284B8" w14:textId="77777777" w:rsidTr="00784321">
        <w:tc>
          <w:tcPr>
            <w:tcW w:w="3142" w:type="dxa"/>
            <w:shd w:val="clear" w:color="auto" w:fill="1C6194" w:themeFill="accent6"/>
          </w:tcPr>
          <w:p w14:paraId="5A942CDD" w14:textId="712E84FD" w:rsidR="006A79B1" w:rsidRPr="003733A6" w:rsidRDefault="007D3AAC" w:rsidP="0045676C">
            <w:pPr>
              <w:pStyle w:val="rowheading"/>
            </w:pPr>
            <w:r>
              <w:t>Office Hours</w:t>
            </w:r>
          </w:p>
        </w:tc>
        <w:tc>
          <w:tcPr>
            <w:tcW w:w="6208" w:type="dxa"/>
          </w:tcPr>
          <w:p w14:paraId="249BE958" w14:textId="7A3CBE6C" w:rsidR="00784321" w:rsidRDefault="00784321" w:rsidP="0045676C">
            <w:pPr>
              <w:pStyle w:val="Row"/>
            </w:pPr>
            <w:r>
              <w:t>Tuesdays 9:30AM – 11:30PM, SSB 467</w:t>
            </w:r>
          </w:p>
          <w:p w14:paraId="5A6D00AE" w14:textId="47964387" w:rsidR="00784321" w:rsidRDefault="00784321" w:rsidP="0045676C">
            <w:pPr>
              <w:pStyle w:val="Row"/>
            </w:pPr>
            <w:r>
              <w:t>By appointment</w:t>
            </w:r>
          </w:p>
          <w:p w14:paraId="018A04B0" w14:textId="47F2DD39" w:rsidR="00784321" w:rsidRPr="003733A6" w:rsidRDefault="00784321" w:rsidP="00784321">
            <w:pPr>
              <w:pStyle w:val="Row"/>
            </w:pPr>
            <w:r>
              <w:t>Online appointments available by request</w:t>
            </w:r>
          </w:p>
        </w:tc>
      </w:tr>
    </w:tbl>
    <w:p w14:paraId="7FBC37C4" w14:textId="09D026F8" w:rsidR="00D466C8" w:rsidRPr="003733A6" w:rsidRDefault="00784321" w:rsidP="00C35405">
      <w:pPr>
        <w:pStyle w:val="Heading1"/>
      </w:pPr>
      <w:r>
        <w:t>COURSE INFORMATION</w:t>
      </w:r>
    </w:p>
    <w:tbl>
      <w:tblPr>
        <w:tblStyle w:val="TableGrid"/>
        <w:tblW w:w="5000" w:type="pct"/>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Services"/>
        <w:tblDescription w:val="Services, rates, promotions, acceptable payment methods, work photos"/>
      </w:tblPr>
      <w:tblGrid>
        <w:gridCol w:w="3139"/>
        <w:gridCol w:w="6211"/>
      </w:tblGrid>
      <w:tr w:rsidR="006A79B1" w:rsidRPr="003733A6" w14:paraId="0455DFCD" w14:textId="77777777" w:rsidTr="000B4CAC">
        <w:tc>
          <w:tcPr>
            <w:tcW w:w="3139" w:type="dxa"/>
            <w:shd w:val="clear" w:color="auto" w:fill="1C6194" w:themeFill="accent6"/>
          </w:tcPr>
          <w:p w14:paraId="72B44666" w14:textId="49B3DB9C" w:rsidR="006A79B1" w:rsidRPr="003733A6" w:rsidRDefault="00784321" w:rsidP="0045676C">
            <w:pPr>
              <w:pStyle w:val="rowheading"/>
            </w:pPr>
            <w:r>
              <w:t>Location</w:t>
            </w:r>
          </w:p>
        </w:tc>
        <w:tc>
          <w:tcPr>
            <w:tcW w:w="6211" w:type="dxa"/>
          </w:tcPr>
          <w:p w14:paraId="08FD9BFD" w14:textId="248E6012" w:rsidR="006A79B1" w:rsidRPr="003733A6" w:rsidRDefault="006A79B1" w:rsidP="0045676C">
            <w:pPr>
              <w:pStyle w:val="Row"/>
            </w:pPr>
            <w:r w:rsidRPr="003733A6">
              <w:t xml:space="preserve"> </w:t>
            </w:r>
            <w:r w:rsidR="000B4CAC">
              <w:t>RWAC 0103</w:t>
            </w:r>
          </w:p>
        </w:tc>
      </w:tr>
      <w:tr w:rsidR="006A79B1" w:rsidRPr="003733A6" w14:paraId="5C0C8F8B" w14:textId="77777777" w:rsidTr="000B4CAC">
        <w:tc>
          <w:tcPr>
            <w:tcW w:w="3139" w:type="dxa"/>
            <w:shd w:val="clear" w:color="auto" w:fill="1C6194" w:themeFill="accent6"/>
          </w:tcPr>
          <w:p w14:paraId="6D77795C" w14:textId="052C17A5" w:rsidR="006A79B1" w:rsidRPr="003733A6" w:rsidRDefault="00784321" w:rsidP="0045676C">
            <w:pPr>
              <w:pStyle w:val="rowheading"/>
            </w:pPr>
            <w:r>
              <w:t>Meeting times</w:t>
            </w:r>
          </w:p>
        </w:tc>
        <w:tc>
          <w:tcPr>
            <w:tcW w:w="6211" w:type="dxa"/>
          </w:tcPr>
          <w:p w14:paraId="1B77BFFA" w14:textId="5616AC03" w:rsidR="006A79B1" w:rsidRPr="003733A6" w:rsidRDefault="000B4CAC" w:rsidP="0045676C">
            <w:pPr>
              <w:pStyle w:val="Row"/>
            </w:pPr>
            <w:r>
              <w:t xml:space="preserve"> Tuesdays and Thursdays, 3:30PM – 4:50PM</w:t>
            </w:r>
          </w:p>
        </w:tc>
      </w:tr>
      <w:tr w:rsidR="006A79B1" w:rsidRPr="003733A6" w14:paraId="5964C42B" w14:textId="77777777" w:rsidTr="000B4CAC">
        <w:tc>
          <w:tcPr>
            <w:tcW w:w="3139" w:type="dxa"/>
            <w:shd w:val="clear" w:color="auto" w:fill="1C6194" w:themeFill="accent6"/>
          </w:tcPr>
          <w:p w14:paraId="68EBAA66" w14:textId="54D16D56" w:rsidR="006A79B1" w:rsidRPr="003733A6" w:rsidRDefault="00784321" w:rsidP="0045676C">
            <w:pPr>
              <w:pStyle w:val="rowheading"/>
            </w:pPr>
            <w:r>
              <w:t>Final Exam Date</w:t>
            </w:r>
          </w:p>
        </w:tc>
        <w:tc>
          <w:tcPr>
            <w:tcW w:w="6211" w:type="dxa"/>
          </w:tcPr>
          <w:p w14:paraId="33F50244" w14:textId="7E5A794C" w:rsidR="006A79B1" w:rsidRPr="003733A6" w:rsidRDefault="000B4CAC" w:rsidP="0045676C">
            <w:pPr>
              <w:pStyle w:val="Row"/>
            </w:pPr>
            <w:r>
              <w:t xml:space="preserve"> Monday, 3PM, 6/8/2026</w:t>
            </w:r>
          </w:p>
        </w:tc>
      </w:tr>
      <w:tr w:rsidR="006A79B1" w:rsidRPr="003733A6" w14:paraId="40C5194D" w14:textId="77777777" w:rsidTr="000B4CAC">
        <w:tc>
          <w:tcPr>
            <w:tcW w:w="3139" w:type="dxa"/>
            <w:shd w:val="clear" w:color="auto" w:fill="1C6194" w:themeFill="accent6"/>
          </w:tcPr>
          <w:p w14:paraId="09C67AD1" w14:textId="094C3EFE" w:rsidR="006A79B1" w:rsidRPr="003733A6" w:rsidRDefault="00784321" w:rsidP="0045676C">
            <w:pPr>
              <w:pStyle w:val="rowheading"/>
            </w:pPr>
            <w:r>
              <w:t>Required Texts</w:t>
            </w:r>
          </w:p>
        </w:tc>
        <w:tc>
          <w:tcPr>
            <w:tcW w:w="6211" w:type="dxa"/>
          </w:tcPr>
          <w:p w14:paraId="1E626B8F" w14:textId="05562D5B" w:rsidR="006A79B1" w:rsidRPr="003733A6" w:rsidRDefault="000B4CAC" w:rsidP="0045676C">
            <w:pPr>
              <w:pStyle w:val="Row"/>
            </w:pPr>
            <w:r>
              <w:t xml:space="preserve"> None</w:t>
            </w:r>
          </w:p>
        </w:tc>
      </w:tr>
    </w:tbl>
    <w:p w14:paraId="590CD131" w14:textId="46647A90" w:rsidR="00D466C8" w:rsidRPr="003733A6" w:rsidRDefault="000B4CAC" w:rsidP="00C35405">
      <w:pPr>
        <w:pStyle w:val="Heading1"/>
      </w:pPr>
      <w:r>
        <w:t>Assignments and Exams</w:t>
      </w:r>
    </w:p>
    <w:tbl>
      <w:tblPr>
        <w:tblStyle w:val="TableGrid"/>
        <w:tblW w:w="5000" w:type="pct"/>
        <w:tblInd w:w="-33"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Availability"/>
        <w:tblDescription w:val="Hours and days you are available, response time, distance you are willing to travel"/>
      </w:tblPr>
      <w:tblGrid>
        <w:gridCol w:w="3122"/>
        <w:gridCol w:w="6228"/>
      </w:tblGrid>
      <w:tr w:rsidR="00566760" w:rsidRPr="003733A6" w14:paraId="790F1BD0" w14:textId="77777777" w:rsidTr="000B4CAC">
        <w:tc>
          <w:tcPr>
            <w:tcW w:w="3122" w:type="dxa"/>
            <w:shd w:val="clear" w:color="auto" w:fill="1C6194" w:themeFill="accent6"/>
          </w:tcPr>
          <w:p w14:paraId="5BC22ADA" w14:textId="41EB8D6E" w:rsidR="00566760" w:rsidRPr="003733A6" w:rsidRDefault="009A2F82" w:rsidP="0045676C">
            <w:pPr>
              <w:pStyle w:val="rowheading"/>
            </w:pPr>
            <w:r>
              <w:t>Attendance and Discussion Questions</w:t>
            </w:r>
          </w:p>
        </w:tc>
        <w:tc>
          <w:tcPr>
            <w:tcW w:w="6228" w:type="dxa"/>
          </w:tcPr>
          <w:p w14:paraId="42F2D62C" w14:textId="0A694F16" w:rsidR="00566760" w:rsidRPr="003733A6" w:rsidRDefault="000B4CAC" w:rsidP="0045676C">
            <w:pPr>
              <w:pStyle w:val="Row"/>
            </w:pPr>
            <w:r w:rsidRPr="00595191">
              <w:rPr>
                <w:b/>
                <w:bCs/>
              </w:rPr>
              <w:t>15%</w:t>
            </w:r>
            <w:r w:rsidR="00595191">
              <w:t xml:space="preserve"> </w:t>
            </w:r>
            <w:r w:rsidR="009A2F82">
              <w:t xml:space="preserve">Attendance is mandatory. </w:t>
            </w:r>
            <w:r w:rsidR="00595191">
              <w:t xml:space="preserve"> Each Thursday you will bring </w:t>
            </w:r>
            <w:r w:rsidR="009A2F82">
              <w:t>1-3 discussion</w:t>
            </w:r>
            <w:r w:rsidR="00595191">
              <w:t xml:space="preserve"> question</w:t>
            </w:r>
            <w:r w:rsidR="009A2F82">
              <w:t>s.</w:t>
            </w:r>
          </w:p>
        </w:tc>
      </w:tr>
      <w:tr w:rsidR="00566760" w:rsidRPr="003733A6" w14:paraId="6F2A3C73" w14:textId="77777777" w:rsidTr="000B4CAC">
        <w:tc>
          <w:tcPr>
            <w:tcW w:w="3122" w:type="dxa"/>
            <w:shd w:val="clear" w:color="auto" w:fill="1C6194" w:themeFill="accent6"/>
          </w:tcPr>
          <w:p w14:paraId="53AB05DA" w14:textId="55376674" w:rsidR="00566760" w:rsidRPr="003733A6" w:rsidRDefault="000B4CAC" w:rsidP="0045676C">
            <w:pPr>
              <w:pStyle w:val="rowheading"/>
            </w:pPr>
            <w:r>
              <w:t>M</w:t>
            </w:r>
            <w:r w:rsidR="000E47EE">
              <w:t>emos</w:t>
            </w:r>
          </w:p>
        </w:tc>
        <w:tc>
          <w:tcPr>
            <w:tcW w:w="6228" w:type="dxa"/>
          </w:tcPr>
          <w:p w14:paraId="630C6FCF" w14:textId="6D19940C" w:rsidR="00566760" w:rsidRPr="003733A6" w:rsidRDefault="000B4CAC" w:rsidP="0045676C">
            <w:pPr>
              <w:pStyle w:val="Row"/>
            </w:pPr>
            <w:r w:rsidRPr="00595191">
              <w:rPr>
                <w:b/>
                <w:bCs/>
              </w:rPr>
              <w:t>25%</w:t>
            </w:r>
            <w:r w:rsidR="00595191">
              <w:t xml:space="preserve"> </w:t>
            </w:r>
            <w:r w:rsidR="0038088A">
              <w:t>Each Week</w:t>
            </w:r>
            <w:r w:rsidR="006B0A2F">
              <w:t xml:space="preserve">, each student will write a 1-2 page memo for the class (you may miss three weeks). </w:t>
            </w:r>
          </w:p>
        </w:tc>
      </w:tr>
      <w:tr w:rsidR="00566760" w:rsidRPr="003733A6" w14:paraId="79C871D9" w14:textId="77777777" w:rsidTr="000B4CAC">
        <w:tc>
          <w:tcPr>
            <w:tcW w:w="3122" w:type="dxa"/>
            <w:shd w:val="clear" w:color="auto" w:fill="1C6194" w:themeFill="accent6"/>
          </w:tcPr>
          <w:p w14:paraId="0D56D40A" w14:textId="49109597" w:rsidR="00566760" w:rsidRDefault="006B71DB" w:rsidP="0045676C">
            <w:pPr>
              <w:pStyle w:val="rowheading"/>
            </w:pPr>
            <w:r>
              <w:t>Auto-Ethnography or Literature Review</w:t>
            </w:r>
          </w:p>
          <w:p w14:paraId="5B83C29D" w14:textId="1C452838" w:rsidR="00595191" w:rsidRDefault="00595191" w:rsidP="00595191">
            <w:pPr>
              <w:pStyle w:val="rowheading"/>
              <w:numPr>
                <w:ilvl w:val="0"/>
                <w:numId w:val="8"/>
              </w:numPr>
            </w:pPr>
            <w:r>
              <w:t>Proposal</w:t>
            </w:r>
            <w:r w:rsidR="00090987">
              <w:t xml:space="preserve"> (10%)</w:t>
            </w:r>
          </w:p>
          <w:p w14:paraId="47E60199" w14:textId="356249A1" w:rsidR="00090987" w:rsidRDefault="00090987" w:rsidP="00595191">
            <w:pPr>
              <w:pStyle w:val="rowheading"/>
              <w:numPr>
                <w:ilvl w:val="0"/>
                <w:numId w:val="8"/>
              </w:numPr>
            </w:pPr>
            <w:r>
              <w:t>Final Draft (40%)</w:t>
            </w:r>
          </w:p>
          <w:p w14:paraId="425E0954" w14:textId="2B4F820B" w:rsidR="00595191" w:rsidRPr="003733A6" w:rsidRDefault="00595191" w:rsidP="00090987">
            <w:pPr>
              <w:pStyle w:val="rowheading"/>
              <w:ind w:left="780"/>
            </w:pPr>
          </w:p>
        </w:tc>
        <w:tc>
          <w:tcPr>
            <w:tcW w:w="6228" w:type="dxa"/>
          </w:tcPr>
          <w:p w14:paraId="2C98B79B" w14:textId="09517D02" w:rsidR="00566760" w:rsidRPr="003733A6" w:rsidRDefault="00595191" w:rsidP="00595191">
            <w:pPr>
              <w:pStyle w:val="Row"/>
            </w:pPr>
            <w:r w:rsidRPr="00595191">
              <w:rPr>
                <w:b/>
                <w:bCs/>
              </w:rPr>
              <w:t>50</w:t>
            </w:r>
            <w:r w:rsidR="000B4CAC" w:rsidRPr="00595191">
              <w:rPr>
                <w:b/>
                <w:bCs/>
              </w:rPr>
              <w:t>%</w:t>
            </w:r>
            <w:r>
              <w:t xml:space="preserve"> The final project for this course is an independent research paper.  There will be several small assignments throughout the quarter that will support the completion of this research including: a proposal to be approved by Dr. Rogers, a </w:t>
            </w:r>
            <w:r w:rsidR="00D02527">
              <w:t>short, annotated</w:t>
            </w:r>
            <w:r>
              <w:t xml:space="preserve"> bibliography of preliminary research sources, a peer-reviewed draft, and a final research paper due Monday of finals week. </w:t>
            </w:r>
          </w:p>
        </w:tc>
      </w:tr>
      <w:tr w:rsidR="000B4CAC" w:rsidRPr="003733A6" w14:paraId="3B3D056A" w14:textId="77777777" w:rsidTr="000B4CAC">
        <w:tc>
          <w:tcPr>
            <w:tcW w:w="3122" w:type="dxa"/>
            <w:shd w:val="clear" w:color="auto" w:fill="1C6194" w:themeFill="accent6"/>
          </w:tcPr>
          <w:p w14:paraId="78AFFE8D" w14:textId="1B852F22" w:rsidR="000B4CAC" w:rsidRDefault="006B71DB" w:rsidP="0045676C">
            <w:pPr>
              <w:pStyle w:val="rowheading"/>
            </w:pPr>
            <w:r>
              <w:t>Field Observation</w:t>
            </w:r>
          </w:p>
        </w:tc>
        <w:tc>
          <w:tcPr>
            <w:tcW w:w="6228" w:type="dxa"/>
          </w:tcPr>
          <w:p w14:paraId="12C56EEC" w14:textId="163577E4" w:rsidR="000B4CAC" w:rsidRPr="003733A6" w:rsidRDefault="00595191" w:rsidP="0045676C">
            <w:pPr>
              <w:pStyle w:val="Row"/>
            </w:pPr>
            <w:r w:rsidRPr="00595191">
              <w:rPr>
                <w:b/>
                <w:bCs/>
              </w:rPr>
              <w:t>10%</w:t>
            </w:r>
            <w:r>
              <w:t xml:space="preserve"> A</w:t>
            </w:r>
            <w:r w:rsidR="006B71DB">
              <w:t>n ethnographic observation conducted week 2, with a paper due on the topic week 3.</w:t>
            </w:r>
          </w:p>
        </w:tc>
      </w:tr>
    </w:tbl>
    <w:p w14:paraId="19C4890C" w14:textId="33290BB6" w:rsidR="00D466C8" w:rsidRPr="00C35405" w:rsidRDefault="00595191" w:rsidP="00C35405">
      <w:pPr>
        <w:pStyle w:val="Heading1"/>
      </w:pPr>
      <w:r>
        <w:lastRenderedPageBreak/>
        <w:t>Electronics POlicy</w:t>
      </w:r>
    </w:p>
    <w:tbl>
      <w:tblPr>
        <w:tblStyle w:val="TableGrid"/>
        <w:tblW w:w="5000" w:type="pct"/>
        <w:tblInd w:w="-33"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Contact Information"/>
        <w:tblDescription w:val="Phone number, email, website URL, and address"/>
      </w:tblPr>
      <w:tblGrid>
        <w:gridCol w:w="3127"/>
        <w:gridCol w:w="6223"/>
      </w:tblGrid>
      <w:tr w:rsidR="00566760" w:rsidRPr="003733A6" w14:paraId="1506EF56" w14:textId="77777777" w:rsidTr="00595191">
        <w:tc>
          <w:tcPr>
            <w:tcW w:w="3127" w:type="dxa"/>
            <w:shd w:val="clear" w:color="auto" w:fill="1C6194" w:themeFill="accent6"/>
          </w:tcPr>
          <w:p w14:paraId="23CA448A" w14:textId="767621A4" w:rsidR="00566760" w:rsidRPr="003733A6" w:rsidRDefault="00595191" w:rsidP="0045676C">
            <w:pPr>
              <w:pStyle w:val="rowheading"/>
            </w:pPr>
            <w:r>
              <w:t>Analog Classroom</w:t>
            </w:r>
          </w:p>
        </w:tc>
        <w:tc>
          <w:tcPr>
            <w:tcW w:w="6223" w:type="dxa"/>
          </w:tcPr>
          <w:p w14:paraId="39F3E71A" w14:textId="77777777" w:rsidR="00566760" w:rsidRDefault="003347E1" w:rsidP="00566760">
            <w:pPr>
              <w:pStyle w:val="Row"/>
            </w:pPr>
            <w:r>
              <w:t>Recent studies, and my own teaching experience, indicate that the presence of electronic devices such as cell-phones and lap tops in the classroom reduce learning. Note-taking by hand is also shown to increase student retention of information (see “fine print” of this syllabus for more details).</w:t>
            </w:r>
          </w:p>
          <w:p w14:paraId="4DDF494F" w14:textId="77777777" w:rsidR="003347E1" w:rsidRDefault="003347E1" w:rsidP="00566760">
            <w:pPr>
              <w:pStyle w:val="Row"/>
            </w:pPr>
          </w:p>
          <w:p w14:paraId="41B945D3" w14:textId="77777777" w:rsidR="003347E1" w:rsidRDefault="003347E1" w:rsidP="00566760">
            <w:pPr>
              <w:pStyle w:val="Row"/>
            </w:pPr>
            <w:r>
              <w:t xml:space="preserve">With this in-mind I run an analog classroom.  No electronic devices out/on in the classroom, except a tablet with stylus or in accordance with university approved accommodations. I will use a computer and slides for our Tuesday lecture, but not for out Thursday discussion day. </w:t>
            </w:r>
          </w:p>
          <w:p w14:paraId="732EA50B" w14:textId="77777777" w:rsidR="003347E1" w:rsidRDefault="003347E1" w:rsidP="00566760">
            <w:pPr>
              <w:pStyle w:val="Row"/>
            </w:pPr>
          </w:p>
          <w:p w14:paraId="21B417EF" w14:textId="2F9AB359" w:rsidR="003347E1" w:rsidRPr="003733A6" w:rsidRDefault="003347E1" w:rsidP="00566760">
            <w:pPr>
              <w:pStyle w:val="Row"/>
            </w:pPr>
            <w:r>
              <w:t xml:space="preserve">Refusal to follow these guidelines may result in penalty up to and including ejection from the classroom. </w:t>
            </w:r>
          </w:p>
        </w:tc>
      </w:tr>
      <w:tr w:rsidR="00566760" w:rsidRPr="003733A6" w14:paraId="0805CB80" w14:textId="77777777" w:rsidTr="00595191">
        <w:tc>
          <w:tcPr>
            <w:tcW w:w="3127" w:type="dxa"/>
            <w:shd w:val="clear" w:color="auto" w:fill="1C6194" w:themeFill="accent6"/>
          </w:tcPr>
          <w:p w14:paraId="461882F8" w14:textId="0CCF3F8B" w:rsidR="00566760" w:rsidRPr="003733A6" w:rsidRDefault="00595191" w:rsidP="0045676C">
            <w:pPr>
              <w:pStyle w:val="rowheading"/>
            </w:pPr>
            <w:r>
              <w:t>Course Readings</w:t>
            </w:r>
          </w:p>
        </w:tc>
        <w:tc>
          <w:tcPr>
            <w:tcW w:w="6223" w:type="dxa"/>
          </w:tcPr>
          <w:p w14:paraId="35653DEF" w14:textId="55AEA0AE" w:rsidR="00566760" w:rsidRPr="003733A6" w:rsidRDefault="00595191" w:rsidP="00566760">
            <w:pPr>
              <w:pStyle w:val="Row"/>
            </w:pPr>
            <w:r>
              <w:t>It is my recommendation that you print out the course readings.  This practice allows you to dialogue with the reading through note-taking. This is not a requirement. If you need to reference a reading in-class you may use an electronic device to access the reading, then stow the device again.  If you have access to a tablet or E-reader these can often be used to read .pdf files and will be less disruptive in class (and easier on the eyes) than reading on your phone.</w:t>
            </w:r>
          </w:p>
        </w:tc>
      </w:tr>
      <w:tr w:rsidR="00566760" w:rsidRPr="003733A6" w14:paraId="114707D2" w14:textId="77777777" w:rsidTr="00595191">
        <w:tc>
          <w:tcPr>
            <w:tcW w:w="3127" w:type="dxa"/>
            <w:shd w:val="clear" w:color="auto" w:fill="1C6194" w:themeFill="accent6"/>
          </w:tcPr>
          <w:p w14:paraId="615CA086" w14:textId="1D5BD4EE" w:rsidR="00566760" w:rsidRPr="003733A6" w:rsidRDefault="00595191" w:rsidP="0045676C">
            <w:pPr>
              <w:pStyle w:val="rowheading"/>
            </w:pPr>
            <w:r>
              <w:t>Emergency Contacts</w:t>
            </w:r>
          </w:p>
        </w:tc>
        <w:tc>
          <w:tcPr>
            <w:tcW w:w="6223" w:type="dxa"/>
          </w:tcPr>
          <w:p w14:paraId="39872945" w14:textId="15E4F8BA" w:rsidR="00566760" w:rsidRPr="003733A6" w:rsidRDefault="003347E1" w:rsidP="00566760">
            <w:pPr>
              <w:pStyle w:val="Row"/>
            </w:pPr>
            <w:r>
              <w:t xml:space="preserve">Should you need to be available as an emergency contact for any reason, you may keep your phone ringer on or arrange for “breakthrough” ringing for certain contacts or circumstances without fear of penalty. </w:t>
            </w:r>
          </w:p>
        </w:tc>
      </w:tr>
      <w:tr w:rsidR="003347E1" w:rsidRPr="003733A6" w14:paraId="7E6D0234" w14:textId="77777777" w:rsidTr="00595191">
        <w:tc>
          <w:tcPr>
            <w:tcW w:w="3127" w:type="dxa"/>
            <w:shd w:val="clear" w:color="auto" w:fill="1C6194" w:themeFill="accent6"/>
          </w:tcPr>
          <w:p w14:paraId="3A066BE0" w14:textId="6C70A9A1" w:rsidR="003347E1" w:rsidRDefault="003347E1" w:rsidP="0045676C">
            <w:pPr>
              <w:pStyle w:val="rowheading"/>
            </w:pPr>
            <w:r>
              <w:t>AI Use</w:t>
            </w:r>
          </w:p>
        </w:tc>
        <w:tc>
          <w:tcPr>
            <w:tcW w:w="6223" w:type="dxa"/>
          </w:tcPr>
          <w:p w14:paraId="236540A0" w14:textId="23267953" w:rsidR="003347E1" w:rsidRDefault="003347E1" w:rsidP="00566760">
            <w:pPr>
              <w:pStyle w:val="Row"/>
            </w:pPr>
            <w:r>
              <w:t xml:space="preserve"> Use of Generative AI to complete any of your assignments in this course is strictly forbidden.  This includes the use of AI programs to translate your paper to English from another language. </w:t>
            </w:r>
          </w:p>
        </w:tc>
      </w:tr>
    </w:tbl>
    <w:p w14:paraId="68123F9A" w14:textId="54DB2C82" w:rsidR="00D466C8" w:rsidRPr="003733A6" w:rsidRDefault="00595191" w:rsidP="00C35405">
      <w:pPr>
        <w:pStyle w:val="Heading1"/>
      </w:pPr>
      <w:r>
        <w:t>COmmunication</w:t>
      </w:r>
    </w:p>
    <w:tbl>
      <w:tblPr>
        <w:tblStyle w:val="TableGrid"/>
        <w:tblW w:w="5000" w:type="pct"/>
        <w:tblInd w:w="-33"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Additional information"/>
        <w:tblDescription w:val="Include any information not listed above that you want potential customers to know"/>
      </w:tblPr>
      <w:tblGrid>
        <w:gridCol w:w="3122"/>
        <w:gridCol w:w="6228"/>
      </w:tblGrid>
      <w:tr w:rsidR="00275A40" w:rsidRPr="003733A6" w14:paraId="37A56B43" w14:textId="77777777" w:rsidTr="003347E1">
        <w:tc>
          <w:tcPr>
            <w:tcW w:w="3122" w:type="dxa"/>
            <w:shd w:val="clear" w:color="auto" w:fill="1C6194" w:themeFill="accent6"/>
          </w:tcPr>
          <w:p w14:paraId="1F1EE445" w14:textId="754BC360" w:rsidR="00275A40" w:rsidRPr="003733A6" w:rsidRDefault="003347E1" w:rsidP="0045676C">
            <w:pPr>
              <w:pStyle w:val="rowheading"/>
            </w:pPr>
            <w:r>
              <w:t>Email</w:t>
            </w:r>
          </w:p>
        </w:tc>
        <w:tc>
          <w:tcPr>
            <w:tcW w:w="6228" w:type="dxa"/>
          </w:tcPr>
          <w:p w14:paraId="5F703511" w14:textId="352E41BD" w:rsidR="00275A40" w:rsidRDefault="00C5367C" w:rsidP="00566760">
            <w:pPr>
              <w:pStyle w:val="Row"/>
              <w:rPr>
                <w:bCs/>
              </w:rPr>
            </w:pPr>
            <w:r>
              <w:rPr>
                <w:b/>
              </w:rPr>
              <w:t xml:space="preserve">Email </w:t>
            </w:r>
            <w:r w:rsidR="00F30D1D">
              <w:rPr>
                <w:b/>
              </w:rPr>
              <w:t>(</w:t>
            </w:r>
            <w:hyperlink r:id="rId11" w:history="1">
              <w:r w:rsidR="00F30D1D" w:rsidRPr="00B92251">
                <w:rPr>
                  <w:rStyle w:val="Hyperlink"/>
                  <w:b/>
                </w:rPr>
                <w:t>jerogers@ucsd.edu</w:t>
              </w:r>
            </w:hyperlink>
            <w:r w:rsidR="00F30D1D">
              <w:rPr>
                <w:b/>
              </w:rPr>
              <w:t xml:space="preserve">) </w:t>
            </w:r>
            <w:r>
              <w:rPr>
                <w:b/>
              </w:rPr>
              <w:t xml:space="preserve">is the best way to get ahold of me. </w:t>
            </w:r>
            <w:r w:rsidR="000861E2">
              <w:rPr>
                <w:bCs/>
              </w:rPr>
              <w:t>I receive a high volume of emails so please include “SOCI 120T” in the email subject line and allow until the end of the next business day to hear back from me prior to re-sending your email.</w:t>
            </w:r>
          </w:p>
          <w:p w14:paraId="0B3D6808" w14:textId="77777777" w:rsidR="001B5C42" w:rsidRDefault="001B5C42" w:rsidP="00566760">
            <w:pPr>
              <w:pStyle w:val="Row"/>
              <w:rPr>
                <w:bCs/>
              </w:rPr>
            </w:pPr>
          </w:p>
          <w:p w14:paraId="1DACE053" w14:textId="6D1275DE" w:rsidR="001B5C42" w:rsidRDefault="001B5C42" w:rsidP="00566760">
            <w:pPr>
              <w:pStyle w:val="Row"/>
              <w:rPr>
                <w:bCs/>
              </w:rPr>
            </w:pPr>
            <w:r>
              <w:rPr>
                <w:bCs/>
              </w:rPr>
              <w:t xml:space="preserve">As a matter of best practice, prior to </w:t>
            </w:r>
            <w:r w:rsidR="00611D13" w:rsidRPr="00404E29">
              <w:rPr>
                <w:color w:val="auto"/>
                <w:sz w:val="22"/>
              </w:rPr>
              <w:t>composing your email please ensure that you have reviewed the following documents</w:t>
            </w:r>
          </w:p>
          <w:p w14:paraId="5D26727D" w14:textId="77777777" w:rsidR="001B5C42" w:rsidRDefault="00611D13" w:rsidP="001B5C42">
            <w:pPr>
              <w:pStyle w:val="Row"/>
              <w:numPr>
                <w:ilvl w:val="0"/>
                <w:numId w:val="9"/>
              </w:numPr>
              <w:rPr>
                <w:bCs/>
              </w:rPr>
            </w:pPr>
            <w:r>
              <w:rPr>
                <w:bCs/>
              </w:rPr>
              <w:t>The course syllabus</w:t>
            </w:r>
          </w:p>
          <w:p w14:paraId="74E23FEB" w14:textId="77777777" w:rsidR="00611D13" w:rsidRDefault="00611D13" w:rsidP="001B5C42">
            <w:pPr>
              <w:pStyle w:val="Row"/>
              <w:numPr>
                <w:ilvl w:val="0"/>
                <w:numId w:val="9"/>
              </w:numPr>
              <w:rPr>
                <w:bCs/>
              </w:rPr>
            </w:pPr>
            <w:r>
              <w:rPr>
                <w:bCs/>
              </w:rPr>
              <w:t>The announcements on Canvas</w:t>
            </w:r>
          </w:p>
          <w:p w14:paraId="7F27DF10" w14:textId="7FD81D86" w:rsidR="00611D13" w:rsidRPr="000861E2" w:rsidRDefault="00330C5E" w:rsidP="001B5C42">
            <w:pPr>
              <w:pStyle w:val="Row"/>
              <w:numPr>
                <w:ilvl w:val="0"/>
                <w:numId w:val="9"/>
              </w:numPr>
              <w:rPr>
                <w:bCs/>
              </w:rPr>
            </w:pPr>
            <w:r>
              <w:lastRenderedPageBreak/>
              <w:t xml:space="preserve">The </w:t>
            </w:r>
            <w:r w:rsidRPr="00404E29">
              <w:rPr>
                <w:color w:val="auto"/>
                <w:sz w:val="22"/>
              </w:rPr>
              <w:t xml:space="preserve">instructions posted on </w:t>
            </w:r>
            <w:r>
              <w:rPr>
                <w:color w:val="auto"/>
                <w:sz w:val="22"/>
              </w:rPr>
              <w:t>any relevant</w:t>
            </w:r>
            <w:r w:rsidRPr="00404E29">
              <w:rPr>
                <w:color w:val="auto"/>
                <w:sz w:val="22"/>
              </w:rPr>
              <w:t xml:space="preserve"> assignment</w:t>
            </w:r>
            <w:r>
              <w:rPr>
                <w:color w:val="auto"/>
                <w:sz w:val="22"/>
              </w:rPr>
              <w:t>s.</w:t>
            </w:r>
          </w:p>
        </w:tc>
      </w:tr>
      <w:tr w:rsidR="003347E1" w:rsidRPr="003733A6" w14:paraId="4FFB4303" w14:textId="77777777" w:rsidTr="003347E1">
        <w:tc>
          <w:tcPr>
            <w:tcW w:w="3122" w:type="dxa"/>
            <w:shd w:val="clear" w:color="auto" w:fill="1C6194" w:themeFill="accent6"/>
          </w:tcPr>
          <w:p w14:paraId="6E189F09" w14:textId="49FD5807" w:rsidR="003347E1" w:rsidRDefault="003347E1" w:rsidP="0045676C">
            <w:pPr>
              <w:pStyle w:val="rowheading"/>
            </w:pPr>
            <w:r>
              <w:lastRenderedPageBreak/>
              <w:t>Canvas Announcements and Message Function</w:t>
            </w:r>
          </w:p>
        </w:tc>
        <w:tc>
          <w:tcPr>
            <w:tcW w:w="6228" w:type="dxa"/>
          </w:tcPr>
          <w:p w14:paraId="419A1A99" w14:textId="52F25EC3" w:rsidR="003347E1" w:rsidRPr="003733A6" w:rsidRDefault="00EB317F" w:rsidP="00566760">
            <w:pPr>
              <w:pStyle w:val="Row"/>
              <w:rPr>
                <w:b/>
              </w:rPr>
            </w:pPr>
            <w:r w:rsidRPr="00EB317F">
              <w:rPr>
                <w:bCs/>
              </w:rPr>
              <w:t xml:space="preserve">It is your responsibility to regularly check your email and your canvas notifications. </w:t>
            </w:r>
            <w:r w:rsidR="00E56FFD">
              <w:rPr>
                <w:bCs/>
              </w:rPr>
              <w:t>If you have notifications from canvas or emails from your university email account forwarded it is your responsibility to ensure that this process is working</w:t>
            </w:r>
            <w:r w:rsidR="00AB4422">
              <w:rPr>
                <w:bCs/>
              </w:rPr>
              <w:t xml:space="preserve">. </w:t>
            </w:r>
          </w:p>
        </w:tc>
      </w:tr>
      <w:tr w:rsidR="000A1D9B" w:rsidRPr="003733A6" w14:paraId="4F79AC3D" w14:textId="77777777" w:rsidTr="003347E1">
        <w:tc>
          <w:tcPr>
            <w:tcW w:w="3122" w:type="dxa"/>
            <w:shd w:val="clear" w:color="auto" w:fill="1C6194" w:themeFill="accent6"/>
          </w:tcPr>
          <w:p w14:paraId="3ED93DBC" w14:textId="1E4854EA" w:rsidR="000A1D9B" w:rsidRDefault="000A1D9B" w:rsidP="0045676C">
            <w:pPr>
              <w:pStyle w:val="rowheading"/>
            </w:pPr>
            <w:r>
              <w:t>For Longer Inquiries</w:t>
            </w:r>
          </w:p>
        </w:tc>
        <w:tc>
          <w:tcPr>
            <w:tcW w:w="6228" w:type="dxa"/>
          </w:tcPr>
          <w:p w14:paraId="2F223C8D" w14:textId="28F69C02" w:rsidR="000A1D9B" w:rsidRPr="00AB4422" w:rsidRDefault="00AB4422" w:rsidP="00566760">
            <w:pPr>
              <w:pStyle w:val="Row"/>
              <w:rPr>
                <w:bCs/>
              </w:rPr>
            </w:pPr>
            <w:r>
              <w:rPr>
                <w:bCs/>
              </w:rPr>
              <w:t>For longer</w:t>
            </w:r>
            <w:r w:rsidR="002977D5">
              <w:rPr>
                <w:bCs/>
              </w:rPr>
              <w:t xml:space="preserve"> and more detailed</w:t>
            </w:r>
            <w:r>
              <w:rPr>
                <w:bCs/>
              </w:rPr>
              <w:t xml:space="preserve"> inquiries I suggest coming to office hours</w:t>
            </w:r>
            <w:r w:rsidR="002977D5">
              <w:rPr>
                <w:bCs/>
              </w:rPr>
              <w:t>.</w:t>
            </w:r>
          </w:p>
        </w:tc>
      </w:tr>
      <w:tr w:rsidR="00F728FC" w:rsidRPr="003733A6" w14:paraId="27710050" w14:textId="77777777" w:rsidTr="003347E1">
        <w:tc>
          <w:tcPr>
            <w:tcW w:w="3122" w:type="dxa"/>
            <w:shd w:val="clear" w:color="auto" w:fill="1C6194" w:themeFill="accent6"/>
          </w:tcPr>
          <w:p w14:paraId="5971C5FA" w14:textId="5F22497E" w:rsidR="00F728FC" w:rsidRDefault="00D97B05" w:rsidP="0045676C">
            <w:pPr>
              <w:pStyle w:val="rowheading"/>
            </w:pPr>
            <w:r>
              <w:t>Class Cancellation</w:t>
            </w:r>
          </w:p>
        </w:tc>
        <w:tc>
          <w:tcPr>
            <w:tcW w:w="6228" w:type="dxa"/>
          </w:tcPr>
          <w:p w14:paraId="7CC4DD76" w14:textId="28118FF7" w:rsidR="00F728FC" w:rsidRDefault="00656613" w:rsidP="00566760">
            <w:pPr>
              <w:pStyle w:val="Row"/>
              <w:rPr>
                <w:bCs/>
              </w:rPr>
            </w:pPr>
            <w:r w:rsidRPr="00AB6199">
              <w:rPr>
                <w:rFonts w:cstheme="minorHAnsi"/>
                <w:szCs w:val="20"/>
              </w:rPr>
              <w:t>In the event that there is an emergency or instructor illness causes class cancelation you will be notified, by email/Canvas, as early as possible</w:t>
            </w:r>
          </w:p>
        </w:tc>
      </w:tr>
    </w:tbl>
    <w:p w14:paraId="674B2FCD" w14:textId="592653A1" w:rsidR="001C4D5E" w:rsidRDefault="00F728FC" w:rsidP="0044600E">
      <w:pPr>
        <w:pStyle w:val="Heading1"/>
      </w:pPr>
      <w:r>
        <w:t>Classroom Expectations</w:t>
      </w:r>
    </w:p>
    <w:tbl>
      <w:tblPr>
        <w:tblStyle w:val="TableGrid"/>
        <w:tblW w:w="5000" w:type="pct"/>
        <w:tblInd w:w="-33"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Additional information"/>
        <w:tblDescription w:val="Include any information not listed above that you want potential customers to know"/>
      </w:tblPr>
      <w:tblGrid>
        <w:gridCol w:w="3122"/>
        <w:gridCol w:w="6228"/>
      </w:tblGrid>
      <w:tr w:rsidR="00000FDF" w:rsidRPr="003733A6" w14:paraId="598D7AA9" w14:textId="77777777" w:rsidTr="00FE0579">
        <w:tc>
          <w:tcPr>
            <w:tcW w:w="3122" w:type="dxa"/>
            <w:shd w:val="clear" w:color="auto" w:fill="1C6194" w:themeFill="accent6"/>
          </w:tcPr>
          <w:p w14:paraId="11F20D7C" w14:textId="73F5373E" w:rsidR="00000FDF" w:rsidRPr="003733A6" w:rsidRDefault="00D76168" w:rsidP="00FE0579">
            <w:pPr>
              <w:pStyle w:val="rowheading"/>
            </w:pPr>
            <w:r>
              <w:t>Timeliness</w:t>
            </w:r>
          </w:p>
        </w:tc>
        <w:tc>
          <w:tcPr>
            <w:tcW w:w="6228" w:type="dxa"/>
          </w:tcPr>
          <w:p w14:paraId="1A80C836" w14:textId="586C3081" w:rsidR="00000FDF" w:rsidRPr="000861E2" w:rsidRDefault="0081430C" w:rsidP="00D571B4">
            <w:pPr>
              <w:pStyle w:val="Row"/>
              <w:rPr>
                <w:bCs/>
              </w:rPr>
            </w:pPr>
            <w:r>
              <w:rPr>
                <w:bCs/>
              </w:rPr>
              <w:t>Normative expectations of timeliness apply to our classroom.  Please arrive on time and refrain from leaving early.  If you must arrive late, come in and take your seat with as little disruption as possible.</w:t>
            </w:r>
          </w:p>
        </w:tc>
      </w:tr>
      <w:tr w:rsidR="00000FDF" w:rsidRPr="003733A6" w14:paraId="61BEDF8C" w14:textId="77777777" w:rsidTr="00FE0579">
        <w:tc>
          <w:tcPr>
            <w:tcW w:w="3122" w:type="dxa"/>
            <w:shd w:val="clear" w:color="auto" w:fill="1C6194" w:themeFill="accent6"/>
          </w:tcPr>
          <w:p w14:paraId="23A78455" w14:textId="537403BE" w:rsidR="00000FDF" w:rsidRDefault="006E2B11" w:rsidP="00FE0579">
            <w:pPr>
              <w:pStyle w:val="rowheading"/>
            </w:pPr>
            <w:r>
              <w:t>Respect</w:t>
            </w:r>
          </w:p>
        </w:tc>
        <w:tc>
          <w:tcPr>
            <w:tcW w:w="6228" w:type="dxa"/>
          </w:tcPr>
          <w:p w14:paraId="6C8C69AC" w14:textId="184C4908" w:rsidR="00000FDF" w:rsidRPr="006E2B11" w:rsidRDefault="006E2B11" w:rsidP="00FE0579">
            <w:pPr>
              <w:pStyle w:val="Row"/>
              <w:rPr>
                <w:bCs/>
              </w:rPr>
            </w:pPr>
            <w:r>
              <w:rPr>
                <w:bCs/>
              </w:rPr>
              <w:t xml:space="preserve">A minimum standard of interpersonal respect is expected of everyone in the classroom: Refrain from speaking over the instructor or your fellow students, address one another politely and with preferred names/titles, </w:t>
            </w:r>
            <w:r w:rsidR="00054D77">
              <w:rPr>
                <w:bCs/>
              </w:rPr>
              <w:t xml:space="preserve">when debating in class critique ideas not people, </w:t>
            </w:r>
            <w:r w:rsidR="00A33923">
              <w:rPr>
                <w:bCs/>
              </w:rPr>
              <w:t xml:space="preserve">do not assume that a position taken in class by a fellow student represents their personal views, </w:t>
            </w:r>
            <w:r w:rsidR="00164FC4">
              <w:rPr>
                <w:bCs/>
              </w:rPr>
              <w:t>refrain from ad-hominem attacks.</w:t>
            </w:r>
          </w:p>
        </w:tc>
      </w:tr>
      <w:tr w:rsidR="00000FDF" w:rsidRPr="003733A6" w14:paraId="4114FF15" w14:textId="77777777" w:rsidTr="00FE0579">
        <w:tc>
          <w:tcPr>
            <w:tcW w:w="3122" w:type="dxa"/>
            <w:shd w:val="clear" w:color="auto" w:fill="1C6194" w:themeFill="accent6"/>
          </w:tcPr>
          <w:p w14:paraId="7292E5A2" w14:textId="73D578AC" w:rsidR="00000FDF" w:rsidRDefault="00443EB7" w:rsidP="00FE0579">
            <w:pPr>
              <w:pStyle w:val="rowheading"/>
            </w:pPr>
            <w:r>
              <w:t>Representing Others</w:t>
            </w:r>
          </w:p>
        </w:tc>
        <w:tc>
          <w:tcPr>
            <w:tcW w:w="6228" w:type="dxa"/>
          </w:tcPr>
          <w:p w14:paraId="088067A6" w14:textId="10B45B0D" w:rsidR="00000FDF" w:rsidRPr="00AB4422" w:rsidRDefault="00443EB7" w:rsidP="00FE0579">
            <w:pPr>
              <w:pStyle w:val="Row"/>
              <w:rPr>
                <w:bCs/>
              </w:rPr>
            </w:pPr>
            <w:r>
              <w:rPr>
                <w:bCs/>
              </w:rPr>
              <w:t xml:space="preserve">We will discuss a variety of bodies, body types, shapes, and modification practices. </w:t>
            </w:r>
            <w:r w:rsidR="00151E1C">
              <w:rPr>
                <w:bCs/>
              </w:rPr>
              <w:t xml:space="preserve">Be respectful of the wide variety of human experiences we will be discussing.  Consider modeling the preferred language used by the group in question. </w:t>
            </w:r>
          </w:p>
        </w:tc>
      </w:tr>
    </w:tbl>
    <w:p w14:paraId="1AF3B1A0" w14:textId="4F744A69" w:rsidR="00000FDF" w:rsidRDefault="00F728FC" w:rsidP="0044600E">
      <w:pPr>
        <w:pStyle w:val="Heading1"/>
      </w:pPr>
      <w:r>
        <w:t>Further Policies</w:t>
      </w:r>
    </w:p>
    <w:tbl>
      <w:tblPr>
        <w:tblStyle w:val="TableGrid"/>
        <w:tblW w:w="5000" w:type="pct"/>
        <w:tblInd w:w="-33"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Additional information"/>
        <w:tblDescription w:val="Include any information not listed above that you want potential customers to know"/>
      </w:tblPr>
      <w:tblGrid>
        <w:gridCol w:w="3122"/>
        <w:gridCol w:w="6228"/>
      </w:tblGrid>
      <w:tr w:rsidR="001C4D5E" w:rsidRPr="003733A6" w14:paraId="3DF0731E" w14:textId="77777777" w:rsidTr="00FE0579">
        <w:tc>
          <w:tcPr>
            <w:tcW w:w="3122" w:type="dxa"/>
            <w:shd w:val="clear" w:color="auto" w:fill="1C6194" w:themeFill="accent6"/>
          </w:tcPr>
          <w:p w14:paraId="7D2E2EE7" w14:textId="2F4D1F54" w:rsidR="001C4D5E" w:rsidRPr="003733A6" w:rsidRDefault="00151E1C" w:rsidP="00FE0579">
            <w:pPr>
              <w:pStyle w:val="rowheading"/>
            </w:pPr>
            <w:r>
              <w:t>Accommodations</w:t>
            </w:r>
          </w:p>
        </w:tc>
        <w:tc>
          <w:tcPr>
            <w:tcW w:w="6228" w:type="dxa"/>
          </w:tcPr>
          <w:p w14:paraId="05690A14" w14:textId="59566CE7" w:rsidR="00151E1C" w:rsidRDefault="00C545DC" w:rsidP="00151E1C">
            <w:pPr>
              <w:pStyle w:val="Row"/>
              <w:rPr>
                <w:bCs/>
              </w:rPr>
            </w:pPr>
            <w:r>
              <w:rPr>
                <w:bCs/>
              </w:rPr>
              <w:t xml:space="preserve">Per university policy, </w:t>
            </w:r>
            <w:r w:rsidR="00865354">
              <w:rPr>
                <w:bCs/>
              </w:rPr>
              <w:t>accommodation</w:t>
            </w:r>
            <w:r>
              <w:rPr>
                <w:bCs/>
              </w:rPr>
              <w:t xml:space="preserve"> </w:t>
            </w:r>
            <w:r w:rsidR="00151E1C">
              <w:rPr>
                <w:bCs/>
              </w:rPr>
              <w:t>cannot be applied retroactively</w:t>
            </w:r>
            <w:r>
              <w:rPr>
                <w:bCs/>
              </w:rPr>
              <w:t xml:space="preserve">, nor granted without OSD documentation. </w:t>
            </w:r>
            <w:r w:rsidR="00151E1C">
              <w:rPr>
                <w:bCs/>
              </w:rPr>
              <w:t xml:space="preserve">, </w:t>
            </w:r>
            <w:r>
              <w:rPr>
                <w:bCs/>
              </w:rPr>
              <w:t>P</w:t>
            </w:r>
            <w:r w:rsidR="00151E1C">
              <w:rPr>
                <w:bCs/>
              </w:rPr>
              <w:t xml:space="preserve">lease get me your </w:t>
            </w:r>
            <w:r w:rsidR="00480EDE">
              <w:rPr>
                <w:bCs/>
              </w:rPr>
              <w:t>OSD accommodation letter</w:t>
            </w:r>
            <w:r w:rsidR="00151E1C">
              <w:rPr>
                <w:bCs/>
              </w:rPr>
              <w:t xml:space="preserve"> as early in the quarter as possible</w:t>
            </w:r>
            <w:r w:rsidR="00480EDE">
              <w:rPr>
                <w:bCs/>
              </w:rPr>
              <w:t>.</w:t>
            </w:r>
          </w:p>
          <w:p w14:paraId="6FCA461B" w14:textId="1766E75E" w:rsidR="00151E1C" w:rsidRPr="000861E2" w:rsidRDefault="00151E1C" w:rsidP="00151E1C">
            <w:pPr>
              <w:pStyle w:val="Row"/>
              <w:rPr>
                <w:bCs/>
              </w:rPr>
            </w:pPr>
            <w:r>
              <w:rPr>
                <w:bCs/>
              </w:rPr>
              <w:t xml:space="preserve">I am happy to work with your regarding your OSD accommodations. </w:t>
            </w:r>
          </w:p>
        </w:tc>
      </w:tr>
      <w:tr w:rsidR="001C4D5E" w:rsidRPr="003733A6" w14:paraId="5E848CE5" w14:textId="77777777" w:rsidTr="00FE0579">
        <w:tc>
          <w:tcPr>
            <w:tcW w:w="3122" w:type="dxa"/>
            <w:shd w:val="clear" w:color="auto" w:fill="1C6194" w:themeFill="accent6"/>
          </w:tcPr>
          <w:p w14:paraId="4C7D22BC" w14:textId="39641843" w:rsidR="001C4D5E" w:rsidRDefault="00480EDE" w:rsidP="00FE0579">
            <w:pPr>
              <w:pStyle w:val="rowheading"/>
            </w:pPr>
            <w:r>
              <w:t>Student Illness</w:t>
            </w:r>
            <w:r w:rsidR="006D6B6E">
              <w:t xml:space="preserve"> and missed exams</w:t>
            </w:r>
          </w:p>
        </w:tc>
        <w:tc>
          <w:tcPr>
            <w:tcW w:w="6228" w:type="dxa"/>
          </w:tcPr>
          <w:p w14:paraId="2738DEFD" w14:textId="77777777" w:rsidR="001C4D5E" w:rsidRDefault="00DF16D2" w:rsidP="00FE0579">
            <w:pPr>
              <w:pStyle w:val="Row"/>
              <w:rPr>
                <w:bCs/>
              </w:rPr>
            </w:pPr>
            <w:r w:rsidRPr="00DF16D2">
              <w:rPr>
                <w:bCs/>
              </w:rPr>
              <w:t xml:space="preserve">If you are ill, please stay home and rest. </w:t>
            </w:r>
            <w:r>
              <w:rPr>
                <w:bCs/>
              </w:rPr>
              <w:t xml:space="preserve"> The course attendance policy includes two weeks of absences before penalty is applied, these are intended to cover to usual course of events (illness, emergency, traffic). </w:t>
            </w:r>
            <w:r w:rsidR="006D6B6E">
              <w:rPr>
                <w:bCs/>
              </w:rPr>
              <w:t xml:space="preserve"> Should you experience an extraordinary event and need accommodation past this two week limit you may be asked for documentation from the instructor.</w:t>
            </w:r>
          </w:p>
          <w:p w14:paraId="6EA001DA" w14:textId="77777777" w:rsidR="006D6B6E" w:rsidRDefault="006D6B6E" w:rsidP="00FE0579">
            <w:pPr>
              <w:pStyle w:val="Row"/>
              <w:rPr>
                <w:bCs/>
              </w:rPr>
            </w:pPr>
          </w:p>
          <w:p w14:paraId="77AA6228" w14:textId="49271BD4" w:rsidR="006D6B6E" w:rsidRPr="00DF16D2" w:rsidRDefault="006D6B6E" w:rsidP="00FE0579">
            <w:pPr>
              <w:pStyle w:val="Row"/>
              <w:rPr>
                <w:bCs/>
              </w:rPr>
            </w:pPr>
            <w:r>
              <w:rPr>
                <w:bCs/>
              </w:rPr>
              <w:lastRenderedPageBreak/>
              <w:t xml:space="preserve">Should you be ill on a test day, please document your illness to best of your ability.  Similarly, should you experience an emergency please document this emergency to the best of your ability and contact the professor as soon as you are safely able. </w:t>
            </w:r>
          </w:p>
        </w:tc>
      </w:tr>
      <w:tr w:rsidR="00865354" w:rsidRPr="003733A6" w14:paraId="0C855AA9" w14:textId="77777777" w:rsidTr="00FE0579">
        <w:tc>
          <w:tcPr>
            <w:tcW w:w="3122" w:type="dxa"/>
            <w:shd w:val="clear" w:color="auto" w:fill="1C6194" w:themeFill="accent6"/>
          </w:tcPr>
          <w:p w14:paraId="49EA34B1" w14:textId="77777777" w:rsidR="00865354" w:rsidRDefault="00865354" w:rsidP="00FE0579">
            <w:pPr>
              <w:pStyle w:val="rowheading"/>
            </w:pPr>
          </w:p>
        </w:tc>
        <w:tc>
          <w:tcPr>
            <w:tcW w:w="6228" w:type="dxa"/>
          </w:tcPr>
          <w:p w14:paraId="38F43AED" w14:textId="77777777" w:rsidR="00865354" w:rsidRPr="00DF16D2" w:rsidRDefault="00865354" w:rsidP="00FE0579">
            <w:pPr>
              <w:pStyle w:val="Row"/>
              <w:rPr>
                <w:bCs/>
              </w:rPr>
            </w:pPr>
          </w:p>
        </w:tc>
      </w:tr>
      <w:tr w:rsidR="001C4D5E" w:rsidRPr="003733A6" w14:paraId="5E380120" w14:textId="77777777" w:rsidTr="00FE0579">
        <w:tc>
          <w:tcPr>
            <w:tcW w:w="3122" w:type="dxa"/>
            <w:shd w:val="clear" w:color="auto" w:fill="1C6194" w:themeFill="accent6"/>
          </w:tcPr>
          <w:p w14:paraId="1E1E0A7B" w14:textId="12455FFD" w:rsidR="001C4D5E" w:rsidRDefault="00833888" w:rsidP="00FE0579">
            <w:pPr>
              <w:pStyle w:val="rowheading"/>
            </w:pPr>
            <w:r>
              <w:t>Academic Integrity</w:t>
            </w:r>
          </w:p>
        </w:tc>
        <w:tc>
          <w:tcPr>
            <w:tcW w:w="6228" w:type="dxa"/>
          </w:tcPr>
          <w:p w14:paraId="4CCE41FE" w14:textId="582318D8" w:rsidR="00833888" w:rsidRPr="00833888" w:rsidRDefault="00833888" w:rsidP="00833888">
            <w:pPr>
              <w:pStyle w:val="Row"/>
              <w:rPr>
                <w:bCs/>
              </w:rPr>
            </w:pPr>
            <w:r>
              <w:rPr>
                <w:bCs/>
              </w:rPr>
              <w:t>F</w:t>
            </w:r>
            <w:r w:rsidRPr="00833888">
              <w:rPr>
                <w:bCs/>
              </w:rPr>
              <w:t>amiliarize yourself with the UCSD definitions of plagiarism and academic misconduct.</w:t>
            </w:r>
          </w:p>
          <w:p w14:paraId="0184C9A2" w14:textId="2717DE00" w:rsidR="001C4D5E" w:rsidRPr="00AB4422" w:rsidRDefault="00833888" w:rsidP="00833888">
            <w:pPr>
              <w:pStyle w:val="Row"/>
              <w:rPr>
                <w:bCs/>
              </w:rPr>
            </w:pPr>
            <w:r w:rsidRPr="00833888">
              <w:rPr>
                <w:bCs/>
              </w:rPr>
              <w:t xml:space="preserve">Violations of the University academic  policy will result in a zero on the assignment and a referral to the Academic Integrity Office. </w:t>
            </w:r>
          </w:p>
        </w:tc>
      </w:tr>
    </w:tbl>
    <w:p w14:paraId="61755997" w14:textId="6C993301" w:rsidR="001C4D5E" w:rsidRDefault="001C4D5E" w:rsidP="00275A40">
      <w:pPr>
        <w:pStyle w:val="Checkbox"/>
        <w:ind w:left="0" w:firstLine="0"/>
        <w:rPr>
          <w:b/>
        </w:rPr>
      </w:pPr>
    </w:p>
    <w:p w14:paraId="668381E0" w14:textId="6728B217" w:rsidR="00090987" w:rsidRDefault="00090987" w:rsidP="00090987">
      <w:pPr>
        <w:pStyle w:val="Heading1"/>
      </w:pPr>
      <w:r>
        <w:t xml:space="preserve">Further Details </w:t>
      </w:r>
    </w:p>
    <w:p w14:paraId="4CD5281E" w14:textId="1C8400CE" w:rsidR="00090987" w:rsidRDefault="00BA3B43" w:rsidP="00FF056B">
      <w:pPr>
        <w:pStyle w:val="rowdate"/>
      </w:pPr>
      <w:r>
        <w:t>Course Logistics</w:t>
      </w:r>
    </w:p>
    <w:p w14:paraId="3297C3A1" w14:textId="77785E27" w:rsidR="00BA3B43" w:rsidRPr="00BA3B43" w:rsidRDefault="00BA3B43" w:rsidP="00BA3B43">
      <w:r w:rsidRPr="00BA3B43">
        <w:t>1) This is a</w:t>
      </w:r>
      <w:r w:rsidR="002C0D5B">
        <w:t xml:space="preserve"> modified</w:t>
      </w:r>
      <w:r w:rsidRPr="00BA3B43">
        <w:t xml:space="preserve"> seminar course. Attendance is mandatory. Students are expected to show up to every class having read all required material. The quality of our</w:t>
      </w:r>
      <w:r w:rsidR="002C0D5B">
        <w:t xml:space="preserve"> Thursday</w:t>
      </w:r>
      <w:r w:rsidRPr="00BA3B43">
        <w:t xml:space="preserve"> discussions depends on your full participation. </w:t>
      </w:r>
    </w:p>
    <w:p w14:paraId="0338BF93" w14:textId="3390F18F" w:rsidR="00BA3B43" w:rsidRPr="00BA3B43" w:rsidRDefault="00BA3B43" w:rsidP="00BA3B43">
      <w:r w:rsidRPr="00BA3B43">
        <w:t xml:space="preserve">2) Over the course of the </w:t>
      </w:r>
      <w:r w:rsidR="002C0D5B">
        <w:t>quarter</w:t>
      </w:r>
      <w:r w:rsidRPr="00BA3B43">
        <w:t>, each student will be expected to write a 1-2 page memo (single-spaced) responding to each week’s readings. These comments will be submitted before class</w:t>
      </w:r>
      <w:r w:rsidR="001B7A14">
        <w:t xml:space="preserve"> on Thursday</w:t>
      </w:r>
      <w:r w:rsidRPr="00BA3B43">
        <w:t xml:space="preserve"> to Canvas. </w:t>
      </w:r>
      <w:r w:rsidRPr="00BA3B43">
        <w:rPr>
          <w:u w:val="single"/>
        </w:rPr>
        <w:t xml:space="preserve">You can choose to skip writing memos for </w:t>
      </w:r>
      <w:r w:rsidRPr="00BA3B43">
        <w:rPr>
          <w:i/>
          <w:u w:val="single"/>
        </w:rPr>
        <w:t xml:space="preserve">three </w:t>
      </w:r>
      <w:r w:rsidRPr="00BA3B43">
        <w:rPr>
          <w:u w:val="single"/>
        </w:rPr>
        <w:t>classes</w:t>
      </w:r>
      <w:r w:rsidRPr="00BA3B43">
        <w:t>. These memos can be informal but they should help you focus your ideas in a way that can contribute to our conversation. You have flexibility with what you include in the memos and how many readings you include</w:t>
      </w:r>
      <w:r w:rsidR="001B7A14">
        <w:t>: However, e</w:t>
      </w:r>
      <w:r w:rsidRPr="00BA3B43">
        <w:t>ach memo should include discussion of at least t</w:t>
      </w:r>
      <w:r w:rsidR="001B7A14">
        <w:t xml:space="preserve">wo </w:t>
      </w:r>
      <w:r w:rsidRPr="00BA3B43">
        <w:t xml:space="preserve">readings and can include (a) a critique of the readings and how these critiques could be addressed, discussing both strengths and weaknesses of the paper; (b) a synthetic analysis of some dimension of the course readings that you found compelling and warrants further discussion, including how this reading informs your own research or how it informs the field of medical sociology; or (c) how main ideas from these readings interact with and inform each other or past readings. Your memos should give me an idea of what the readings made you think about and how this relates to the larger field of medical sociology. These memos should also be helpful in crafting your final project. </w:t>
      </w:r>
      <w:r w:rsidR="00C373D9">
        <w:t xml:space="preserve"> Twice per quarter (per student) I will select (at random) one memo to grade in depth, all other memos will be graded on a complete/incomplete basis. </w:t>
      </w:r>
      <w:r w:rsidR="00042544">
        <w:t xml:space="preserve"> These memos are due Weeks 2</w:t>
      </w:r>
      <w:r w:rsidR="00273418">
        <w:t>, 4</w:t>
      </w:r>
      <w:r w:rsidR="00042544">
        <w:t xml:space="preserve"> – 9</w:t>
      </w:r>
      <w:r w:rsidR="00877B2F">
        <w:t xml:space="preserve">, this means each student will write </w:t>
      </w:r>
      <w:r w:rsidR="00865354">
        <w:t>five</w:t>
      </w:r>
      <w:r w:rsidR="00877B2F">
        <w:t xml:space="preserve"> (</w:t>
      </w:r>
      <w:r w:rsidR="00273418">
        <w:t>5</w:t>
      </w:r>
      <w:r w:rsidR="00877B2F">
        <w:t xml:space="preserve">) memos with two (2) memos being graded in-depth. </w:t>
      </w:r>
    </w:p>
    <w:p w14:paraId="3AE2B5CC" w14:textId="3694BF29" w:rsidR="00084C5C" w:rsidRPr="00084C5C" w:rsidRDefault="00BD4556" w:rsidP="00BD4556">
      <w:r>
        <w:t>3</w:t>
      </w:r>
      <w:r w:rsidRPr="00BD4556">
        <w:rPr>
          <w:u w:val="single"/>
        </w:rPr>
        <w:t xml:space="preserve">) </w:t>
      </w:r>
      <w:r w:rsidR="00084C5C" w:rsidRPr="00BD4556">
        <w:rPr>
          <w:u w:val="single"/>
        </w:rPr>
        <w:t xml:space="preserve">In addition to the memo, you should submit </w:t>
      </w:r>
      <w:r w:rsidR="00084C5C" w:rsidRPr="00BD4556">
        <w:rPr>
          <w:i/>
          <w:u w:val="single"/>
        </w:rPr>
        <w:t>two to three</w:t>
      </w:r>
      <w:r w:rsidR="00084C5C" w:rsidRPr="00BD4556">
        <w:rPr>
          <w:u w:val="single"/>
        </w:rPr>
        <w:t xml:space="preserve"> well-crafted questions (Discussion Questions) for the class to consider as a group</w:t>
      </w:r>
      <w:r w:rsidR="00084C5C" w:rsidRPr="00084C5C">
        <w:t xml:space="preserve">. Questions may target what you consider the key issues/problems raised by the author(s) in question, a shortcoming in the argument/evidence, a puzzling claim, broader implications, exciting/provocative comparisons, and so forth. You can bring in ideas from earlier classes and readings, as well as from other sociology classes and readings.  </w:t>
      </w:r>
      <w:r w:rsidR="00084C5C" w:rsidRPr="00084C5C">
        <w:rPr>
          <w:i/>
        </w:rPr>
        <w:t>These questions need to be submitted</w:t>
      </w:r>
      <w:r w:rsidR="00084C5C">
        <w:rPr>
          <w:i/>
        </w:rPr>
        <w:t xml:space="preserve"> at the start of the class, on paper, to Dr. Rogers. Your question may be read aloud to the class. </w:t>
      </w:r>
      <w:r w:rsidR="00084C5C" w:rsidRPr="00084C5C">
        <w:t xml:space="preserve"> </w:t>
      </w:r>
    </w:p>
    <w:p w14:paraId="34522614" w14:textId="23FD4DCC" w:rsidR="00BA3B43" w:rsidRDefault="008C13CE" w:rsidP="008C13CE">
      <w:r>
        <w:t xml:space="preserve">4) </w:t>
      </w:r>
      <w:r w:rsidR="00F469BA">
        <w:t xml:space="preserve">Field Observation Report. </w:t>
      </w:r>
      <w:r w:rsidR="00DE2065">
        <w:t xml:space="preserve"> On Tuesday of Week 2 you will use course time to conduct an ethnographic observation of embodied behavior on campus.  A written reflection on the experience will be due the following week. </w:t>
      </w:r>
    </w:p>
    <w:p w14:paraId="337D74AD" w14:textId="2160CAE1" w:rsidR="00FF5C4E" w:rsidRDefault="004A6245" w:rsidP="00FF5C4E">
      <w:pPr>
        <w:pStyle w:val="BlockText"/>
        <w:tabs>
          <w:tab w:val="left" w:pos="720"/>
        </w:tabs>
        <w:spacing w:line="240" w:lineRule="auto"/>
        <w:rPr>
          <w:bCs/>
          <w:color w:val="auto"/>
          <w:sz w:val="22"/>
          <w:szCs w:val="22"/>
        </w:rPr>
      </w:pPr>
      <w:r>
        <w:lastRenderedPageBreak/>
        <w:t xml:space="preserve">5) </w:t>
      </w:r>
      <w:r w:rsidR="00FF5C4E">
        <w:rPr>
          <w:color w:val="5A696A" w:themeColor="accent4" w:themeShade="BF"/>
          <w:sz w:val="22"/>
        </w:rPr>
        <w:t>Course Project</w:t>
      </w:r>
      <w:r w:rsidR="00FF5C4E" w:rsidRPr="00AC2EF0">
        <w:rPr>
          <w:color w:val="5A696A" w:themeColor="accent4" w:themeShade="BF"/>
          <w:sz w:val="22"/>
        </w:rPr>
        <w:t>.</w:t>
      </w:r>
      <w:r w:rsidR="00FF5C4E" w:rsidRPr="00B90373">
        <w:rPr>
          <w:color w:val="398E98" w:themeColor="accent2"/>
          <w:sz w:val="22"/>
        </w:rPr>
        <w:t xml:space="preserve"> </w:t>
      </w:r>
      <w:r w:rsidR="00FF5C4E" w:rsidRPr="00EF0A49">
        <w:rPr>
          <w:color w:val="auto"/>
          <w:sz w:val="22"/>
          <w:szCs w:val="22"/>
        </w:rPr>
        <w:t xml:space="preserve">You will be responsible for completing a project synthesizing the information you learn in this course. The final project </w:t>
      </w:r>
      <w:r w:rsidR="00FF5C4E">
        <w:rPr>
          <w:color w:val="auto"/>
          <w:sz w:val="22"/>
          <w:szCs w:val="22"/>
        </w:rPr>
        <w:t xml:space="preserve">can be in one of two forms: a formal literature review or an academic autoethnography. Either option should be about eight-to-ten pages in length and should attend to </w:t>
      </w:r>
      <w:r w:rsidR="00FF5C4E" w:rsidRPr="00EF0A49">
        <w:rPr>
          <w:bCs/>
          <w:color w:val="auto"/>
          <w:sz w:val="22"/>
          <w:szCs w:val="22"/>
        </w:rPr>
        <w:t xml:space="preserve">the relationship between the body and </w:t>
      </w:r>
      <w:r w:rsidR="00FF5C4E">
        <w:rPr>
          <w:bCs/>
          <w:color w:val="auto"/>
          <w:sz w:val="22"/>
          <w:szCs w:val="22"/>
        </w:rPr>
        <w:t>society using academic resources. Detailed instructions will be provided during the third week of class. The course paper grade contains the following t</w:t>
      </w:r>
      <w:r w:rsidR="004E757F">
        <w:rPr>
          <w:bCs/>
          <w:color w:val="auto"/>
          <w:sz w:val="22"/>
          <w:szCs w:val="22"/>
        </w:rPr>
        <w:t xml:space="preserve">wo </w:t>
      </w:r>
      <w:r w:rsidR="00FF5C4E">
        <w:rPr>
          <w:bCs/>
          <w:color w:val="auto"/>
          <w:sz w:val="22"/>
          <w:szCs w:val="22"/>
        </w:rPr>
        <w:t>elements:</w:t>
      </w:r>
    </w:p>
    <w:p w14:paraId="6EF1D208" w14:textId="2E86106D" w:rsidR="00FF5C4E" w:rsidRDefault="00FF5C4E" w:rsidP="00FF5C4E">
      <w:pPr>
        <w:pStyle w:val="BlockText"/>
        <w:numPr>
          <w:ilvl w:val="1"/>
          <w:numId w:val="11"/>
        </w:numPr>
        <w:tabs>
          <w:tab w:val="left" w:pos="720"/>
        </w:tabs>
        <w:spacing w:line="240" w:lineRule="auto"/>
        <w:rPr>
          <w:bCs/>
          <w:color w:val="auto"/>
          <w:sz w:val="22"/>
          <w:szCs w:val="22"/>
        </w:rPr>
      </w:pPr>
      <w:r>
        <w:rPr>
          <w:color w:val="5A696A" w:themeColor="accent4" w:themeShade="BF"/>
          <w:sz w:val="22"/>
        </w:rPr>
        <w:t>The Project Proposal.</w:t>
      </w:r>
      <w:r>
        <w:rPr>
          <w:bCs/>
          <w:color w:val="auto"/>
          <w:sz w:val="22"/>
          <w:szCs w:val="22"/>
        </w:rPr>
        <w:t xml:space="preserve"> Your one-page proposal is due online by </w:t>
      </w:r>
      <w:r w:rsidR="00722D3E">
        <w:rPr>
          <w:bCs/>
          <w:color w:val="auto"/>
          <w:sz w:val="22"/>
          <w:szCs w:val="22"/>
        </w:rPr>
        <w:t>May 14</w:t>
      </w:r>
      <w:r w:rsidR="00722D3E" w:rsidRPr="00722D3E">
        <w:rPr>
          <w:bCs/>
          <w:color w:val="auto"/>
          <w:sz w:val="22"/>
          <w:szCs w:val="22"/>
          <w:vertAlign w:val="superscript"/>
        </w:rPr>
        <w:t>th</w:t>
      </w:r>
      <w:r w:rsidR="00722D3E">
        <w:rPr>
          <w:bCs/>
          <w:color w:val="auto"/>
          <w:sz w:val="22"/>
          <w:szCs w:val="22"/>
        </w:rPr>
        <w:t xml:space="preserve">, 10:00PM. </w:t>
      </w:r>
    </w:p>
    <w:p w14:paraId="5CDBAB1B" w14:textId="45F9F60A" w:rsidR="00FF5C4E" w:rsidRPr="007C0CA7" w:rsidRDefault="00FF5C4E" w:rsidP="00FF5C4E">
      <w:pPr>
        <w:pStyle w:val="BlockText"/>
        <w:numPr>
          <w:ilvl w:val="1"/>
          <w:numId w:val="11"/>
        </w:numPr>
        <w:tabs>
          <w:tab w:val="left" w:pos="720"/>
        </w:tabs>
        <w:spacing w:line="240" w:lineRule="auto"/>
        <w:rPr>
          <w:bCs/>
          <w:color w:val="auto"/>
          <w:sz w:val="22"/>
          <w:szCs w:val="22"/>
        </w:rPr>
      </w:pPr>
      <w:r>
        <w:rPr>
          <w:color w:val="5A696A" w:themeColor="accent4" w:themeShade="BF"/>
          <w:sz w:val="22"/>
        </w:rPr>
        <w:t xml:space="preserve">The Final Paper. </w:t>
      </w:r>
      <w:r>
        <w:rPr>
          <w:color w:val="auto"/>
          <w:sz w:val="22"/>
          <w:szCs w:val="22"/>
        </w:rPr>
        <w:t xml:space="preserve">Your final paper is due online by </w:t>
      </w:r>
      <w:r w:rsidR="00F469BA">
        <w:rPr>
          <w:color w:val="auto"/>
          <w:sz w:val="22"/>
          <w:szCs w:val="22"/>
        </w:rPr>
        <w:t>11:59</w:t>
      </w:r>
      <w:r>
        <w:rPr>
          <w:color w:val="auto"/>
          <w:sz w:val="22"/>
          <w:szCs w:val="22"/>
        </w:rPr>
        <w:t xml:space="preserve">pm on </w:t>
      </w:r>
      <w:r w:rsidR="00F469BA">
        <w:rPr>
          <w:color w:val="auto"/>
          <w:sz w:val="22"/>
          <w:szCs w:val="22"/>
        </w:rPr>
        <w:t>Monday, June 8th</w:t>
      </w:r>
      <w:r>
        <w:rPr>
          <w:color w:val="auto"/>
          <w:sz w:val="22"/>
          <w:szCs w:val="22"/>
        </w:rPr>
        <w:t xml:space="preserve">. </w:t>
      </w:r>
    </w:p>
    <w:p w14:paraId="61FD4B76" w14:textId="72401E32" w:rsidR="00090987" w:rsidRPr="00090987" w:rsidRDefault="00090987" w:rsidP="00090987"/>
    <w:p w14:paraId="5DB72D2B" w14:textId="04716B2E" w:rsidR="002045D9" w:rsidRPr="00833888" w:rsidRDefault="00833888" w:rsidP="00833888">
      <w:pPr>
        <w:rPr>
          <w:rFonts w:ascii="Brush Script MT" w:hAnsi="Brush Script MT" w:cstheme="minorHAnsi"/>
          <w:b/>
          <w:bCs/>
        </w:rPr>
      </w:pPr>
      <w:r w:rsidRPr="00833888">
        <w:rPr>
          <w:rFonts w:ascii="Brush Script MT" w:hAnsi="Brush Script MT"/>
          <w:b/>
          <w:bCs/>
        </w:rPr>
        <w:t>Th</w:t>
      </w:r>
      <w:r w:rsidR="002045D9" w:rsidRPr="00833888">
        <w:rPr>
          <w:rFonts w:ascii="Brush Script MT" w:hAnsi="Brush Script MT" w:cstheme="minorHAnsi"/>
          <w:b/>
          <w:bCs/>
        </w:rPr>
        <w:t>e Fine Print</w:t>
      </w:r>
    </w:p>
    <w:p w14:paraId="574CAC07" w14:textId="0E298431" w:rsidR="002045D9" w:rsidRPr="00833888" w:rsidRDefault="00833888" w:rsidP="002045D9">
      <w:pPr>
        <w:pStyle w:val="Heading2"/>
        <w:rPr>
          <w:rFonts w:asciiTheme="minorHAnsi" w:hAnsiTheme="minorHAnsi"/>
          <w:sz w:val="20"/>
          <w:szCs w:val="20"/>
        </w:rPr>
      </w:pPr>
      <w:r w:rsidRPr="00833888">
        <w:rPr>
          <w:rFonts w:asciiTheme="minorHAnsi" w:hAnsiTheme="minorHAnsi" w:cstheme="minorHAnsi"/>
          <w:b/>
          <w:bCs/>
          <w:noProof/>
          <w:sz w:val="20"/>
          <w:szCs w:val="20"/>
        </w:rPr>
        <w:drawing>
          <wp:anchor distT="0" distB="0" distL="114300" distR="114300" simplePos="0" relativeHeight="251659264" behindDoc="0" locked="0" layoutInCell="1" allowOverlap="1" wp14:anchorId="3CD61533" wp14:editId="3D737D42">
            <wp:simplePos x="0" y="0"/>
            <wp:positionH relativeFrom="column">
              <wp:posOffset>3295650</wp:posOffset>
            </wp:positionH>
            <wp:positionV relativeFrom="paragraph">
              <wp:posOffset>4445</wp:posOffset>
            </wp:positionV>
            <wp:extent cx="2857500" cy="1600200"/>
            <wp:effectExtent l="0" t="0" r="0" b="0"/>
            <wp:wrapSquare wrapText="bothSides"/>
            <wp:docPr id="1871680556" name="Picture 1" descr="Cartoon of a gen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0556" name="Picture 1" descr="Cartoon of a geni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14:sizeRelH relativeFrom="page">
              <wp14:pctWidth>0</wp14:pctWidth>
            </wp14:sizeRelH>
            <wp14:sizeRelV relativeFrom="page">
              <wp14:pctHeight>0</wp14:pctHeight>
            </wp14:sizeRelV>
          </wp:anchor>
        </w:drawing>
      </w:r>
      <w:r w:rsidR="002045D9" w:rsidRPr="00833888">
        <w:rPr>
          <w:rFonts w:asciiTheme="minorHAnsi" w:hAnsiTheme="minorHAnsi"/>
          <w:sz w:val="20"/>
          <w:szCs w:val="20"/>
        </w:rPr>
        <w:t>Emergencies and Instructor Illness:</w:t>
      </w:r>
    </w:p>
    <w:p w14:paraId="3370677A" w14:textId="77777777" w:rsidR="002045D9" w:rsidRPr="00833888" w:rsidRDefault="002045D9" w:rsidP="002045D9">
      <w:pPr>
        <w:pStyle w:val="NoSpacing"/>
        <w:rPr>
          <w:rFonts w:asciiTheme="minorHAnsi" w:hAnsiTheme="minorHAnsi" w:cstheme="minorHAnsi"/>
          <w:b/>
          <w:sz w:val="20"/>
          <w:szCs w:val="20"/>
        </w:rPr>
      </w:pPr>
    </w:p>
    <w:p w14:paraId="7A3E927A"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In the event that there is an emergency or instructor illness causes class cancelation you will be notified, by email/Canvas, as early as possible. Class will be shifted to an online format if possible. If not, the class meeting will be considered cancelled, and the reading/lecture schedule will be adjusted</w:t>
      </w:r>
    </w:p>
    <w:p w14:paraId="4D864662" w14:textId="77777777" w:rsidR="002045D9" w:rsidRPr="00833888" w:rsidRDefault="002045D9" w:rsidP="002045D9">
      <w:pPr>
        <w:pStyle w:val="NoSpacing"/>
        <w:rPr>
          <w:rFonts w:asciiTheme="minorHAnsi" w:hAnsiTheme="minorHAnsi" w:cstheme="minorHAnsi"/>
          <w:b/>
          <w:sz w:val="20"/>
          <w:szCs w:val="20"/>
        </w:rPr>
      </w:pPr>
    </w:p>
    <w:p w14:paraId="33470561"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 xml:space="preserve">Students with Disabilities: </w:t>
      </w:r>
    </w:p>
    <w:p w14:paraId="46A623AB" w14:textId="77777777" w:rsidR="002045D9" w:rsidRPr="00833888" w:rsidRDefault="002045D9" w:rsidP="002045D9">
      <w:pPr>
        <w:pStyle w:val="NoSpacing"/>
        <w:rPr>
          <w:rFonts w:asciiTheme="minorHAnsi" w:hAnsiTheme="minorHAnsi" w:cstheme="minorHAnsi"/>
          <w:b/>
          <w:sz w:val="20"/>
          <w:szCs w:val="20"/>
        </w:rPr>
      </w:pPr>
    </w:p>
    <w:p w14:paraId="6EB33142"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 xml:space="preserve">In adherence with “Appendix 3: Policy on Students with Disabilities and Steps for Academic Accommodation” if you require disability accommodations for this course you should be registered with the OSD and provide your accommodation letter to Professor Rogers and the Sociology Department Disability Coordinator as early in the quarter as possible. Accommodations cannot be granted retroactively. </w:t>
      </w:r>
    </w:p>
    <w:p w14:paraId="6B759E85"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http://senate.ucsd.edu/Operating-Procedures/Senate-Manual/Appendices/3</w:t>
      </w:r>
    </w:p>
    <w:p w14:paraId="1A4F43BD" w14:textId="77777777" w:rsidR="002045D9" w:rsidRPr="00833888" w:rsidRDefault="002045D9" w:rsidP="002045D9">
      <w:pPr>
        <w:pStyle w:val="NoSpacing"/>
        <w:rPr>
          <w:rFonts w:asciiTheme="minorHAnsi" w:hAnsiTheme="minorHAnsi" w:cstheme="minorHAnsi"/>
          <w:sz w:val="20"/>
          <w:szCs w:val="20"/>
        </w:rPr>
      </w:pPr>
    </w:p>
    <w:p w14:paraId="6DE66108"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 xml:space="preserve">UCSD Statement of Academic Integrity: </w:t>
      </w:r>
    </w:p>
    <w:p w14:paraId="3A2552AA" w14:textId="77777777" w:rsidR="002045D9" w:rsidRPr="00833888" w:rsidRDefault="002045D9" w:rsidP="002045D9">
      <w:pPr>
        <w:pStyle w:val="NoSpacing"/>
        <w:rPr>
          <w:rFonts w:asciiTheme="minorHAnsi" w:hAnsiTheme="minorHAnsi" w:cstheme="minorHAnsi"/>
          <w:sz w:val="20"/>
          <w:szCs w:val="20"/>
        </w:rPr>
      </w:pPr>
    </w:p>
    <w:p w14:paraId="44E106D2" w14:textId="77777777" w:rsidR="002045D9" w:rsidRPr="00833888" w:rsidRDefault="002045D9" w:rsidP="002045D9">
      <w:pPr>
        <w:pStyle w:val="NoSpacing"/>
        <w:rPr>
          <w:rStyle w:val="markedcontent"/>
          <w:rFonts w:asciiTheme="minorHAnsi" w:hAnsiTheme="minorHAnsi" w:cstheme="minorHAnsi"/>
          <w:bCs/>
          <w:sz w:val="20"/>
          <w:szCs w:val="20"/>
        </w:rPr>
      </w:pPr>
      <w:r w:rsidRPr="00833888">
        <w:rPr>
          <w:rStyle w:val="markedcontent"/>
          <w:rFonts w:asciiTheme="minorHAnsi" w:hAnsiTheme="minorHAnsi" w:cstheme="minorHAnsi"/>
          <w:sz w:val="20"/>
          <w:szCs w:val="20"/>
        </w:rPr>
        <w:t>Plagiarism is using the ideas or words of</w:t>
      </w:r>
      <w:r w:rsidRPr="00833888">
        <w:rPr>
          <w:rFonts w:asciiTheme="minorHAnsi" w:hAnsiTheme="minorHAnsi" w:cstheme="minorHAnsi"/>
          <w:sz w:val="20"/>
          <w:szCs w:val="20"/>
        </w:rPr>
        <w:t xml:space="preserve"> </w:t>
      </w:r>
      <w:r w:rsidRPr="00833888">
        <w:rPr>
          <w:rStyle w:val="markedcontent"/>
          <w:rFonts w:asciiTheme="minorHAnsi" w:hAnsiTheme="minorHAnsi" w:cstheme="minorHAnsi"/>
          <w:sz w:val="20"/>
          <w:szCs w:val="20"/>
        </w:rPr>
        <w:t>someone else without acknowledging them as the other person’s. The minimum</w:t>
      </w:r>
      <w:r w:rsidRPr="00833888">
        <w:rPr>
          <w:rFonts w:asciiTheme="minorHAnsi" w:hAnsiTheme="minorHAnsi" w:cstheme="minorHAnsi"/>
          <w:sz w:val="20"/>
          <w:szCs w:val="20"/>
        </w:rPr>
        <w:t xml:space="preserve"> </w:t>
      </w:r>
      <w:r w:rsidRPr="00833888">
        <w:rPr>
          <w:rStyle w:val="markedcontent"/>
          <w:rFonts w:asciiTheme="minorHAnsi" w:hAnsiTheme="minorHAnsi" w:cstheme="minorHAnsi"/>
          <w:sz w:val="20"/>
          <w:szCs w:val="20"/>
        </w:rPr>
        <w:t xml:space="preserve">punishment for plagiarism on any written assignment in this course is </w:t>
      </w:r>
      <w:r w:rsidRPr="00833888">
        <w:rPr>
          <w:rStyle w:val="markedcontent"/>
          <w:rFonts w:asciiTheme="minorHAnsi" w:hAnsiTheme="minorHAnsi" w:cstheme="minorHAnsi"/>
          <w:b/>
          <w:sz w:val="20"/>
          <w:szCs w:val="20"/>
        </w:rPr>
        <w:t xml:space="preserve">a zero on the assignment. </w:t>
      </w:r>
      <w:r w:rsidRPr="00833888">
        <w:rPr>
          <w:rStyle w:val="markedcontent"/>
          <w:rFonts w:asciiTheme="minorHAnsi" w:hAnsiTheme="minorHAnsi" w:cstheme="minorHAnsi"/>
          <w:bCs/>
          <w:sz w:val="20"/>
          <w:szCs w:val="20"/>
        </w:rPr>
        <w:t xml:space="preserve">Do not use Chat GPT or any other generative AI programs to aid in the completion of any assignment for this course. </w:t>
      </w:r>
    </w:p>
    <w:p w14:paraId="07CF6F93" w14:textId="77777777" w:rsidR="002045D9" w:rsidRPr="00833888" w:rsidRDefault="002045D9" w:rsidP="002045D9">
      <w:pPr>
        <w:pStyle w:val="NoSpacing"/>
        <w:rPr>
          <w:rFonts w:asciiTheme="minorHAnsi" w:hAnsiTheme="minorHAnsi" w:cstheme="minorHAnsi"/>
          <w:sz w:val="20"/>
          <w:szCs w:val="20"/>
        </w:rPr>
      </w:pPr>
    </w:p>
    <w:p w14:paraId="3BF8003E"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Students are responsible for producing their own, original work in this class without unauthorized aid of any kind. Representing someone else’s work as your own will not be tolerated, as outlined in the UCSD Policy on Academic Integrity published in the UCSD General Catalog.  As noted in the FAQ page from AIO:</w:t>
      </w:r>
    </w:p>
    <w:p w14:paraId="342E19F3" w14:textId="77777777" w:rsidR="002045D9" w:rsidRPr="00833888" w:rsidRDefault="002045D9" w:rsidP="002045D9">
      <w:pPr>
        <w:pStyle w:val="NoSpacing"/>
        <w:rPr>
          <w:rFonts w:asciiTheme="minorHAnsi" w:hAnsiTheme="minorHAnsi" w:cstheme="minorHAnsi"/>
          <w:sz w:val="20"/>
          <w:szCs w:val="20"/>
        </w:rPr>
      </w:pPr>
    </w:p>
    <w:p w14:paraId="67A6476E"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“As a Triton, you're expected to know some of the basics of excelling with integrity. For example:</w:t>
      </w:r>
    </w:p>
    <w:p w14:paraId="710F4417" w14:textId="77777777" w:rsidR="002045D9" w:rsidRPr="00833888" w:rsidRDefault="002045D9" w:rsidP="002045D9">
      <w:pPr>
        <w:pStyle w:val="NoSpacing"/>
        <w:numPr>
          <w:ilvl w:val="0"/>
          <w:numId w:val="4"/>
        </w:numPr>
        <w:rPr>
          <w:rFonts w:asciiTheme="minorHAnsi" w:hAnsiTheme="minorHAnsi" w:cstheme="minorHAnsi"/>
          <w:sz w:val="20"/>
          <w:szCs w:val="20"/>
        </w:rPr>
      </w:pPr>
      <w:r w:rsidRPr="00833888">
        <w:rPr>
          <w:rFonts w:asciiTheme="minorHAnsi" w:hAnsiTheme="minorHAnsi" w:cstheme="minorHAnsi"/>
          <w:sz w:val="20"/>
          <w:szCs w:val="20"/>
        </w:rPr>
        <w:t>Cite your sources.</w:t>
      </w:r>
    </w:p>
    <w:p w14:paraId="71B40D3B" w14:textId="77777777" w:rsidR="002045D9" w:rsidRPr="00833888" w:rsidRDefault="002045D9" w:rsidP="002045D9">
      <w:pPr>
        <w:pStyle w:val="NoSpacing"/>
        <w:numPr>
          <w:ilvl w:val="0"/>
          <w:numId w:val="4"/>
        </w:numPr>
        <w:rPr>
          <w:rFonts w:asciiTheme="minorHAnsi" w:hAnsiTheme="minorHAnsi" w:cstheme="minorHAnsi"/>
          <w:sz w:val="20"/>
          <w:szCs w:val="20"/>
        </w:rPr>
      </w:pPr>
      <w:r w:rsidRPr="00833888">
        <w:rPr>
          <w:rFonts w:asciiTheme="minorHAnsi" w:hAnsiTheme="minorHAnsi" w:cstheme="minorHAnsi"/>
          <w:sz w:val="20"/>
          <w:szCs w:val="20"/>
        </w:rPr>
        <w:t>Complete in-class tests and take-home tests independently.</w:t>
      </w:r>
    </w:p>
    <w:p w14:paraId="236C7969" w14:textId="77777777" w:rsidR="002045D9" w:rsidRPr="00833888" w:rsidRDefault="002045D9" w:rsidP="002045D9">
      <w:pPr>
        <w:pStyle w:val="NoSpacing"/>
        <w:numPr>
          <w:ilvl w:val="0"/>
          <w:numId w:val="4"/>
        </w:numPr>
        <w:rPr>
          <w:rFonts w:asciiTheme="minorHAnsi" w:hAnsiTheme="minorHAnsi" w:cstheme="minorHAnsi"/>
          <w:sz w:val="20"/>
          <w:szCs w:val="20"/>
        </w:rPr>
      </w:pPr>
      <w:r w:rsidRPr="00833888">
        <w:rPr>
          <w:rFonts w:asciiTheme="minorHAnsi" w:hAnsiTheme="minorHAnsi" w:cstheme="minorHAnsi"/>
          <w:sz w:val="20"/>
          <w:szCs w:val="20"/>
        </w:rPr>
        <w:t>Complete your own homework assignments.</w:t>
      </w:r>
    </w:p>
    <w:p w14:paraId="137A770E"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In general, the AI Office recommends that before you engage in an action related to academic course work, assignments or exams, run your action through the following three tests:</w:t>
      </w:r>
    </w:p>
    <w:p w14:paraId="5C36199E" w14:textId="77777777" w:rsidR="002045D9" w:rsidRPr="00833888" w:rsidRDefault="002045D9" w:rsidP="002045D9">
      <w:pPr>
        <w:pStyle w:val="NoSpacing"/>
        <w:numPr>
          <w:ilvl w:val="0"/>
          <w:numId w:val="5"/>
        </w:numPr>
        <w:rPr>
          <w:rFonts w:asciiTheme="minorHAnsi" w:hAnsiTheme="minorHAnsi" w:cstheme="minorHAnsi"/>
          <w:sz w:val="20"/>
          <w:szCs w:val="20"/>
        </w:rPr>
      </w:pPr>
      <w:r w:rsidRPr="00833888">
        <w:rPr>
          <w:rFonts w:asciiTheme="minorHAnsi" w:hAnsiTheme="minorHAnsi" w:cstheme="minorHAnsi"/>
          <w:sz w:val="20"/>
          <w:szCs w:val="20"/>
        </w:rPr>
        <w:lastRenderedPageBreak/>
        <w:t>VALUES - is the action honest, responsible, respectful, fair and trustworthy?</w:t>
      </w:r>
    </w:p>
    <w:p w14:paraId="2281B1D2" w14:textId="77777777" w:rsidR="002045D9" w:rsidRPr="00833888" w:rsidRDefault="002045D9" w:rsidP="002045D9">
      <w:pPr>
        <w:pStyle w:val="NoSpacing"/>
        <w:numPr>
          <w:ilvl w:val="0"/>
          <w:numId w:val="5"/>
        </w:numPr>
        <w:rPr>
          <w:rFonts w:asciiTheme="minorHAnsi" w:hAnsiTheme="minorHAnsi" w:cstheme="minorHAnsi"/>
          <w:sz w:val="20"/>
          <w:szCs w:val="20"/>
        </w:rPr>
      </w:pPr>
      <w:r w:rsidRPr="00833888">
        <w:rPr>
          <w:rFonts w:asciiTheme="minorHAnsi" w:hAnsiTheme="minorHAnsi" w:cstheme="minorHAnsi"/>
          <w:sz w:val="20"/>
          <w:szCs w:val="20"/>
        </w:rPr>
        <w:t>STANDARDS - does the action honor the integrity standards set by the University and/or by the course instructor?</w:t>
      </w:r>
    </w:p>
    <w:p w14:paraId="648F7C96" w14:textId="77777777" w:rsidR="002045D9" w:rsidRPr="00833888" w:rsidRDefault="002045D9" w:rsidP="002045D9">
      <w:pPr>
        <w:pStyle w:val="NoSpacing"/>
        <w:numPr>
          <w:ilvl w:val="0"/>
          <w:numId w:val="5"/>
        </w:numPr>
        <w:rPr>
          <w:rFonts w:asciiTheme="minorHAnsi" w:hAnsiTheme="minorHAnsi" w:cstheme="minorHAnsi"/>
          <w:sz w:val="20"/>
          <w:szCs w:val="20"/>
        </w:rPr>
      </w:pPr>
      <w:r w:rsidRPr="00833888">
        <w:rPr>
          <w:rFonts w:asciiTheme="minorHAnsi" w:hAnsiTheme="minorHAnsi" w:cstheme="minorHAnsi"/>
          <w:sz w:val="20"/>
          <w:szCs w:val="20"/>
        </w:rPr>
        <w:t>EXPOSURE - if my action was exposed to the course instructor or the AI Office, would I be okay with that or would they approve?</w:t>
      </w:r>
    </w:p>
    <w:p w14:paraId="6FAB6247"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If the answer to ANY of the tests is a NO, then the action is likely a violation of academic integrity so avoid it!”</w:t>
      </w:r>
    </w:p>
    <w:p w14:paraId="1CE62B31"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 xml:space="preserve">Please familiarize yourself with the definitions of cheating. </w:t>
      </w:r>
      <w:hyperlink r:id="rId13" w:history="1">
        <w:r w:rsidRPr="00833888">
          <w:rPr>
            <w:rStyle w:val="Hyperlink"/>
            <w:rFonts w:asciiTheme="minorHAnsi" w:hAnsiTheme="minorHAnsi" w:cstheme="minorHAnsi"/>
            <w:sz w:val="20"/>
            <w:szCs w:val="20"/>
          </w:rPr>
          <w:t>http://academicintegrity.ucsd.edu/excel-integrity/define-cheating/index.html</w:t>
        </w:r>
      </w:hyperlink>
    </w:p>
    <w:p w14:paraId="4513B1C5" w14:textId="77777777" w:rsidR="002045D9" w:rsidRPr="00833888" w:rsidRDefault="002045D9" w:rsidP="002045D9">
      <w:pPr>
        <w:pStyle w:val="NoSpacing"/>
        <w:rPr>
          <w:rFonts w:asciiTheme="minorHAnsi" w:hAnsiTheme="minorHAnsi" w:cstheme="minorHAnsi"/>
          <w:sz w:val="20"/>
          <w:szCs w:val="20"/>
        </w:rPr>
      </w:pPr>
      <w:hyperlink r:id="rId14" w:history="1">
        <w:r w:rsidRPr="00833888">
          <w:rPr>
            <w:rStyle w:val="Hyperlink"/>
            <w:rFonts w:asciiTheme="minorHAnsi" w:hAnsiTheme="minorHAnsi" w:cstheme="minorHAnsi"/>
            <w:sz w:val="20"/>
            <w:szCs w:val="20"/>
          </w:rPr>
          <w:t>http://senate.ucsd.edu/Operating-Procedures/Senate-Manual/Appendices/2</w:t>
        </w:r>
      </w:hyperlink>
    </w:p>
    <w:p w14:paraId="1F97AA89" w14:textId="77777777" w:rsidR="002045D9" w:rsidRPr="00833888" w:rsidRDefault="002045D9" w:rsidP="002045D9">
      <w:pPr>
        <w:pStyle w:val="NoSpacing"/>
        <w:rPr>
          <w:rFonts w:asciiTheme="minorHAnsi" w:hAnsiTheme="minorHAnsi" w:cstheme="minorHAnsi"/>
          <w:sz w:val="20"/>
          <w:szCs w:val="20"/>
          <w:u w:val="single"/>
        </w:rPr>
      </w:pPr>
    </w:p>
    <w:p w14:paraId="187606B0"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TITLE IX Mandated Reporter Policy</w:t>
      </w:r>
    </w:p>
    <w:p w14:paraId="02EB5B44" w14:textId="77777777" w:rsidR="002045D9" w:rsidRPr="00833888" w:rsidRDefault="002045D9" w:rsidP="002045D9">
      <w:pPr>
        <w:pStyle w:val="NoSpacing"/>
        <w:rPr>
          <w:rFonts w:asciiTheme="minorHAnsi" w:hAnsiTheme="minorHAnsi" w:cstheme="minorHAnsi"/>
          <w:b/>
          <w:sz w:val="20"/>
          <w:szCs w:val="20"/>
        </w:rPr>
      </w:pPr>
    </w:p>
    <w:p w14:paraId="1A190491"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UCSD Faculty, Staff, and Students believe in creating a community free from interpersonal violence, including sexual assault, partner violence, and stalking, in which all members feel safe and respected. I believe each student deserves a safe environment to pursue an education and I understand the devastating impact forms of power-based personal violence (i.e. sexual assault, dating/domestic violence, and stalking) may have. I am dedicated to make our campus safe.</w:t>
      </w:r>
    </w:p>
    <w:p w14:paraId="4CD0DF62" w14:textId="77777777" w:rsidR="002045D9" w:rsidRPr="00833888" w:rsidRDefault="002045D9" w:rsidP="002045D9">
      <w:pPr>
        <w:pStyle w:val="NoSpacing"/>
        <w:rPr>
          <w:rFonts w:asciiTheme="minorHAnsi" w:hAnsiTheme="minorHAnsi" w:cstheme="minorHAnsi"/>
          <w:sz w:val="20"/>
          <w:szCs w:val="20"/>
        </w:rPr>
      </w:pPr>
    </w:p>
    <w:p w14:paraId="04167FA2"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Please know that all faculty and staff on campus are mandatory reporters. This means that if you disclose an experience of sexual misconduct to me, I must report the experience to UCSD’s Title IX Coordinator, office. If you would like to co-report your experience in a way that feels comfortable for you, we can discuss that process. Filing a sexual misconduct report does not mean you will have to get involved with an investigation or go to court. For more information on UCSD policy regarding nondiscrimination, sexual harassment, and sexual violence see: https://www.ucsd.edu/catalog/front/shpp.html</w:t>
      </w:r>
    </w:p>
    <w:p w14:paraId="6E2B12D6" w14:textId="77777777" w:rsidR="002045D9" w:rsidRPr="00833888" w:rsidRDefault="002045D9" w:rsidP="002045D9">
      <w:pPr>
        <w:pStyle w:val="NoSpacing"/>
        <w:rPr>
          <w:rFonts w:asciiTheme="minorHAnsi" w:hAnsiTheme="minorHAnsi" w:cstheme="minorHAnsi"/>
          <w:sz w:val="20"/>
          <w:szCs w:val="20"/>
        </w:rPr>
      </w:pPr>
    </w:p>
    <w:p w14:paraId="057E834C" w14:textId="77777777" w:rsidR="002045D9"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If you have experienced sexual violence and wish to reach out there is support available through UCSD via CARE at SARC (</w:t>
      </w:r>
      <w:hyperlink r:id="rId15" w:history="1">
        <w:r w:rsidRPr="00833888">
          <w:rPr>
            <w:rStyle w:val="Hyperlink"/>
            <w:rFonts w:asciiTheme="minorHAnsi" w:hAnsiTheme="minorHAnsi" w:cstheme="minorHAnsi"/>
            <w:sz w:val="20"/>
            <w:szCs w:val="20"/>
          </w:rPr>
          <w:t>https://care.ucsd.edu/</w:t>
        </w:r>
      </w:hyperlink>
      <w:r w:rsidRPr="00833888">
        <w:rPr>
          <w:rFonts w:asciiTheme="minorHAnsi" w:hAnsiTheme="minorHAnsi" w:cstheme="minorHAnsi"/>
          <w:sz w:val="20"/>
          <w:szCs w:val="20"/>
        </w:rPr>
        <w:t xml:space="preserve">) or CAPS (https://wellness.ucsd.edu/CAPS/about/Pages/contact.aspx).  If you wish to seek assistance outside of the University system you can also contact RAINN via 800.656.HOPE (4673) or online (RAINN.org) where they have online chat services available or dial 411. </w:t>
      </w:r>
    </w:p>
    <w:p w14:paraId="0C30275E" w14:textId="77777777" w:rsidR="00865354" w:rsidRPr="00833888" w:rsidRDefault="00865354" w:rsidP="002045D9">
      <w:pPr>
        <w:pStyle w:val="NoSpacing"/>
        <w:rPr>
          <w:rFonts w:asciiTheme="minorHAnsi" w:hAnsiTheme="minorHAnsi" w:cstheme="minorHAnsi"/>
          <w:sz w:val="20"/>
          <w:szCs w:val="20"/>
        </w:rPr>
      </w:pPr>
    </w:p>
    <w:p w14:paraId="617FAF48" w14:textId="77777777" w:rsidR="002045D9" w:rsidRPr="00833888" w:rsidRDefault="002045D9" w:rsidP="002045D9">
      <w:pPr>
        <w:pStyle w:val="Heading2"/>
        <w:rPr>
          <w:rFonts w:asciiTheme="minorHAnsi" w:hAnsiTheme="minorHAnsi"/>
          <w:b/>
          <w:sz w:val="20"/>
          <w:szCs w:val="20"/>
        </w:rPr>
      </w:pPr>
      <w:r w:rsidRPr="00833888">
        <w:rPr>
          <w:rFonts w:asciiTheme="minorHAnsi" w:hAnsiTheme="minorHAnsi"/>
          <w:b/>
          <w:sz w:val="20"/>
          <w:szCs w:val="20"/>
        </w:rPr>
        <w:t>Incomplete, late or missing work/Difficulties with the course</w:t>
      </w:r>
    </w:p>
    <w:p w14:paraId="7A745197" w14:textId="77777777" w:rsidR="002045D9" w:rsidRPr="00833888" w:rsidRDefault="002045D9" w:rsidP="002045D9">
      <w:pPr>
        <w:pStyle w:val="NoSpacing"/>
        <w:rPr>
          <w:rFonts w:asciiTheme="minorHAnsi" w:hAnsiTheme="minorHAnsi" w:cstheme="minorHAnsi"/>
          <w:b/>
          <w:sz w:val="20"/>
          <w:szCs w:val="20"/>
        </w:rPr>
      </w:pPr>
    </w:p>
    <w:p w14:paraId="5B6B1866" w14:textId="77777777" w:rsidR="002045D9" w:rsidRPr="00833888" w:rsidRDefault="002045D9" w:rsidP="002045D9">
      <w:pPr>
        <w:pStyle w:val="NoSpacing"/>
        <w:numPr>
          <w:ilvl w:val="0"/>
          <w:numId w:val="6"/>
        </w:numPr>
        <w:rPr>
          <w:rFonts w:asciiTheme="minorHAnsi" w:hAnsiTheme="minorHAnsi" w:cstheme="minorHAnsi"/>
          <w:sz w:val="20"/>
          <w:szCs w:val="20"/>
        </w:rPr>
      </w:pPr>
      <w:r w:rsidRPr="00833888">
        <w:rPr>
          <w:rFonts w:asciiTheme="minorHAnsi" w:hAnsiTheme="minorHAnsi" w:cstheme="minorHAnsi"/>
          <w:sz w:val="20"/>
          <w:szCs w:val="20"/>
        </w:rPr>
        <w:t xml:space="preserve">If you are experiencing strains that are getting in the way of the course, technical difficulties, or difficulties with course content I encourage you to reach out to me sooner rather than later.  The sooner I am alerted to your struggles the better I am able to assist you. </w:t>
      </w:r>
    </w:p>
    <w:p w14:paraId="3693D55A" w14:textId="7588E2BD" w:rsidR="002045D9" w:rsidRDefault="00865354" w:rsidP="002045D9">
      <w:pPr>
        <w:pStyle w:val="NoSpacing"/>
        <w:numPr>
          <w:ilvl w:val="0"/>
          <w:numId w:val="6"/>
        </w:numPr>
        <w:rPr>
          <w:rFonts w:asciiTheme="minorHAnsi" w:hAnsiTheme="minorHAnsi" w:cstheme="minorHAnsi"/>
          <w:sz w:val="20"/>
          <w:szCs w:val="20"/>
        </w:rPr>
      </w:pPr>
      <w:r>
        <w:rPr>
          <w:rFonts w:asciiTheme="minorHAnsi" w:hAnsiTheme="minorHAnsi" w:cstheme="minorHAnsi"/>
          <w:sz w:val="20"/>
          <w:szCs w:val="20"/>
        </w:rPr>
        <w:t>Weekly memos and discussion questions cannot be turned in late as their purpose is to ensure that you are prepared for discussion on Thursdays.</w:t>
      </w:r>
    </w:p>
    <w:p w14:paraId="10A1CCC2" w14:textId="44BBE847" w:rsidR="00865354" w:rsidRPr="00833888" w:rsidRDefault="00865354" w:rsidP="002045D9">
      <w:pPr>
        <w:pStyle w:val="NoSpacing"/>
        <w:numPr>
          <w:ilvl w:val="0"/>
          <w:numId w:val="6"/>
        </w:numPr>
        <w:rPr>
          <w:rFonts w:asciiTheme="minorHAnsi" w:hAnsiTheme="minorHAnsi" w:cstheme="minorHAnsi"/>
          <w:sz w:val="20"/>
          <w:szCs w:val="20"/>
        </w:rPr>
      </w:pPr>
      <w:r>
        <w:rPr>
          <w:rFonts w:asciiTheme="minorHAnsi" w:hAnsiTheme="minorHAnsi" w:cstheme="minorHAnsi"/>
          <w:sz w:val="20"/>
          <w:szCs w:val="20"/>
        </w:rPr>
        <w:t>For all other assignments (field report, final project proposal, final project) a deduction of 10% per day will be applied</w:t>
      </w:r>
      <w:r w:rsidR="00861BAB">
        <w:rPr>
          <w:rFonts w:asciiTheme="minorHAnsi" w:hAnsiTheme="minorHAnsi" w:cstheme="minorHAnsi"/>
          <w:sz w:val="20"/>
          <w:szCs w:val="20"/>
        </w:rPr>
        <w:t xml:space="preserve"> to the assignment, up the 5 days late, with the exception of the final report which can not be turned in more than 2 days late. </w:t>
      </w:r>
    </w:p>
    <w:p w14:paraId="606C9E6F" w14:textId="6F98C3F8" w:rsidR="002045D9" w:rsidRPr="00833888" w:rsidRDefault="002045D9" w:rsidP="002045D9">
      <w:pPr>
        <w:pStyle w:val="NoSpacing"/>
        <w:numPr>
          <w:ilvl w:val="0"/>
          <w:numId w:val="6"/>
        </w:numPr>
        <w:rPr>
          <w:rFonts w:asciiTheme="minorHAnsi" w:hAnsiTheme="minorHAnsi" w:cstheme="minorHAnsi"/>
          <w:sz w:val="20"/>
          <w:szCs w:val="20"/>
        </w:rPr>
      </w:pPr>
      <w:r w:rsidRPr="00833888">
        <w:rPr>
          <w:rFonts w:asciiTheme="minorHAnsi" w:hAnsiTheme="minorHAnsi" w:cstheme="minorHAnsi"/>
          <w:sz w:val="20"/>
          <w:szCs w:val="20"/>
        </w:rPr>
        <w:t>Once per quarter you may utilize the “kitten policy” to turn in an assignment up to two days late without penalty.  To make use of the kitten policy the student must submit a photo</w:t>
      </w:r>
      <w:r w:rsidR="006714DC">
        <w:rPr>
          <w:rFonts w:asciiTheme="minorHAnsi" w:hAnsiTheme="minorHAnsi" w:cstheme="minorHAnsi"/>
          <w:sz w:val="20"/>
          <w:szCs w:val="20"/>
        </w:rPr>
        <w:t xml:space="preserve"> or drawing </w:t>
      </w:r>
      <w:r w:rsidRPr="00833888">
        <w:rPr>
          <w:rFonts w:asciiTheme="minorHAnsi" w:hAnsiTheme="minorHAnsi" w:cstheme="minorHAnsi"/>
          <w:sz w:val="20"/>
          <w:szCs w:val="20"/>
        </w:rPr>
        <w:t xml:space="preserve"> of a kitten </w:t>
      </w:r>
      <w:r w:rsidR="006714DC">
        <w:rPr>
          <w:rFonts w:asciiTheme="minorHAnsi" w:hAnsiTheme="minorHAnsi" w:cstheme="minorHAnsi"/>
          <w:sz w:val="20"/>
          <w:szCs w:val="20"/>
        </w:rPr>
        <w:t xml:space="preserve">in place of the assignment, </w:t>
      </w:r>
      <w:r w:rsidRPr="00833888">
        <w:rPr>
          <w:rFonts w:asciiTheme="minorHAnsi" w:hAnsiTheme="minorHAnsi" w:cstheme="minorHAnsi"/>
          <w:sz w:val="20"/>
          <w:szCs w:val="20"/>
        </w:rPr>
        <w:t xml:space="preserve">prior to the due date of the assignment. </w:t>
      </w:r>
    </w:p>
    <w:p w14:paraId="08BDE55A" w14:textId="77777777" w:rsidR="002045D9" w:rsidRPr="00833888" w:rsidRDefault="002045D9" w:rsidP="002045D9">
      <w:pPr>
        <w:pStyle w:val="NoSpacing"/>
        <w:numPr>
          <w:ilvl w:val="0"/>
          <w:numId w:val="6"/>
        </w:numPr>
        <w:rPr>
          <w:rFonts w:asciiTheme="minorHAnsi" w:hAnsiTheme="minorHAnsi" w:cstheme="minorHAnsi"/>
          <w:sz w:val="20"/>
          <w:szCs w:val="20"/>
        </w:rPr>
      </w:pPr>
      <w:r w:rsidRPr="00833888">
        <w:rPr>
          <w:rFonts w:asciiTheme="minorHAnsi" w:hAnsiTheme="minorHAnsi" w:cstheme="minorHAnsi"/>
          <w:sz w:val="20"/>
          <w:szCs w:val="20"/>
        </w:rPr>
        <w:t xml:space="preserve">Missing assignments and quizzes will be assigned a grade of zero.  </w:t>
      </w:r>
    </w:p>
    <w:p w14:paraId="78146FEE" w14:textId="77777777" w:rsidR="002045D9" w:rsidRPr="00833888" w:rsidRDefault="002045D9" w:rsidP="002045D9">
      <w:pPr>
        <w:pStyle w:val="NoSpacing"/>
        <w:numPr>
          <w:ilvl w:val="0"/>
          <w:numId w:val="6"/>
        </w:numPr>
        <w:rPr>
          <w:rFonts w:asciiTheme="minorHAnsi" w:hAnsiTheme="minorHAnsi" w:cstheme="minorHAnsi"/>
          <w:sz w:val="20"/>
          <w:szCs w:val="20"/>
        </w:rPr>
      </w:pPr>
      <w:r w:rsidRPr="00833888">
        <w:rPr>
          <w:rFonts w:asciiTheme="minorHAnsi" w:hAnsiTheme="minorHAnsi" w:cstheme="minorHAnsi"/>
          <w:sz w:val="20"/>
          <w:szCs w:val="20"/>
        </w:rPr>
        <w:t xml:space="preserve">For all submission based assignments (not quizzes) the Canvas drop-box will close promptly at the due time and date.  It will then re-open 8AM the following morning for late submissions. Assignments will not be accepted as email submissions.  Be mindful of </w:t>
      </w:r>
      <w:r w:rsidRPr="00833888">
        <w:rPr>
          <w:rFonts w:asciiTheme="minorHAnsi" w:hAnsiTheme="minorHAnsi" w:cstheme="minorHAnsi"/>
          <w:sz w:val="20"/>
          <w:szCs w:val="20"/>
        </w:rPr>
        <w:lastRenderedPageBreak/>
        <w:t>the cut-off time and plan accordingly: computer or Wi-Fi malfunction is not a sufficient reason to excuse the late penalty.  I strongly suggest you do not put off submission until the last moment.  Late assignments that have not made use of the Kitten Policy are subject to a 10% per day penalty, not to exceed 5 days past the assignment due date. This late penalty is applied automatically by Canvas.</w:t>
      </w:r>
    </w:p>
    <w:p w14:paraId="4316ED2E" w14:textId="77777777" w:rsidR="002045D9" w:rsidRPr="00833888" w:rsidRDefault="002045D9" w:rsidP="002045D9">
      <w:pPr>
        <w:pStyle w:val="NoSpacing"/>
        <w:rPr>
          <w:rFonts w:asciiTheme="minorHAnsi" w:hAnsiTheme="minorHAnsi" w:cstheme="minorHAnsi"/>
          <w:sz w:val="20"/>
          <w:szCs w:val="20"/>
        </w:rPr>
      </w:pPr>
    </w:p>
    <w:p w14:paraId="6195D0F4"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 xml:space="preserve">Kitten Policy: </w:t>
      </w:r>
    </w:p>
    <w:p w14:paraId="4B7E1946" w14:textId="77777777" w:rsidR="002045D9" w:rsidRPr="00833888" w:rsidRDefault="002045D9" w:rsidP="002045D9">
      <w:pPr>
        <w:pStyle w:val="NoSpacing"/>
        <w:rPr>
          <w:rFonts w:asciiTheme="minorHAnsi" w:hAnsiTheme="minorHAnsi" w:cstheme="minorHAnsi"/>
          <w:sz w:val="20"/>
          <w:szCs w:val="20"/>
        </w:rPr>
      </w:pPr>
    </w:p>
    <w:p w14:paraId="3F9C7D34" w14:textId="0E3E2815"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noProof/>
          <w:sz w:val="20"/>
          <w:szCs w:val="20"/>
        </w:rPr>
        <w:drawing>
          <wp:anchor distT="0" distB="0" distL="114300" distR="114300" simplePos="0" relativeHeight="251660288" behindDoc="1" locked="0" layoutInCell="1" allowOverlap="1" wp14:anchorId="7862501F" wp14:editId="6EA89E3C">
            <wp:simplePos x="0" y="0"/>
            <wp:positionH relativeFrom="margin">
              <wp:align>left</wp:align>
            </wp:positionH>
            <wp:positionV relativeFrom="paragraph">
              <wp:posOffset>5715</wp:posOffset>
            </wp:positionV>
            <wp:extent cx="1390650" cy="927100"/>
            <wp:effectExtent l="0" t="0" r="0" b="6350"/>
            <wp:wrapSquare wrapText="bothSides"/>
            <wp:docPr id="687934553" name="Picture 2" descr="A cat in a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34553" name="Picture 687934553" descr="A cat in a ba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0650" cy="927100"/>
                    </a:xfrm>
                    <a:prstGeom prst="rect">
                      <a:avLst/>
                    </a:prstGeom>
                  </pic:spPr>
                </pic:pic>
              </a:graphicData>
            </a:graphic>
            <wp14:sizeRelH relativeFrom="margin">
              <wp14:pctWidth>0</wp14:pctWidth>
            </wp14:sizeRelH>
            <wp14:sizeRelV relativeFrom="margin">
              <wp14:pctHeight>0</wp14:pctHeight>
            </wp14:sizeRelV>
          </wp:anchor>
        </w:drawing>
      </w:r>
      <w:r w:rsidRPr="00833888">
        <w:rPr>
          <w:rFonts w:asciiTheme="minorHAnsi" w:hAnsiTheme="minorHAnsi" w:cstheme="minorHAnsi"/>
          <w:sz w:val="20"/>
          <w:szCs w:val="20"/>
        </w:rPr>
        <w:t xml:space="preserve">The late work policy is designed to be fair to the majority of students who turn in their work on time and are engaged in class. However, each student may use one “no questions asked” kitten which will enable you to extend the deadline on one assignment for a maximum of two days. To use your kitten simply upload an image of a kitten in place of your assignment and be sure to resubmit the actual assignment within 48 hours of the original due date.  The kitten policy cannot be applied </w:t>
      </w:r>
      <w:r w:rsidR="00F702FB">
        <w:rPr>
          <w:rFonts w:asciiTheme="minorHAnsi" w:hAnsiTheme="minorHAnsi" w:cstheme="minorHAnsi"/>
          <w:sz w:val="20"/>
          <w:szCs w:val="20"/>
        </w:rPr>
        <w:t>to discussion questions.</w:t>
      </w:r>
      <w:r w:rsidRPr="00833888">
        <w:rPr>
          <w:rFonts w:asciiTheme="minorHAnsi" w:hAnsiTheme="minorHAnsi" w:cstheme="minorHAnsi"/>
          <w:sz w:val="20"/>
          <w:szCs w:val="20"/>
        </w:rPr>
        <w:t xml:space="preserve"> </w:t>
      </w:r>
    </w:p>
    <w:p w14:paraId="717C0782" w14:textId="77777777" w:rsidR="002045D9" w:rsidRPr="00833888" w:rsidRDefault="002045D9" w:rsidP="002045D9">
      <w:pPr>
        <w:pStyle w:val="NoSpacing"/>
        <w:rPr>
          <w:rFonts w:asciiTheme="minorHAnsi" w:hAnsiTheme="minorHAnsi" w:cstheme="minorHAnsi"/>
          <w:sz w:val="20"/>
          <w:szCs w:val="20"/>
        </w:rPr>
      </w:pPr>
    </w:p>
    <w:p w14:paraId="3E38FB57"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Extra Credit and Grade Bumping</w:t>
      </w:r>
    </w:p>
    <w:p w14:paraId="2B0F0ED9" w14:textId="77777777" w:rsidR="002045D9" w:rsidRPr="00833888" w:rsidRDefault="002045D9" w:rsidP="002045D9">
      <w:pPr>
        <w:pStyle w:val="NoSpacing"/>
        <w:rPr>
          <w:rFonts w:asciiTheme="minorHAnsi" w:hAnsiTheme="minorHAnsi" w:cstheme="minorHAnsi"/>
          <w:b/>
          <w:sz w:val="20"/>
          <w:szCs w:val="20"/>
        </w:rPr>
      </w:pPr>
    </w:p>
    <w:p w14:paraId="7BB9774A" w14:textId="5EAC5A7E" w:rsidR="002045D9" w:rsidRPr="00833888" w:rsidRDefault="002045D9" w:rsidP="002045D9">
      <w:pPr>
        <w:pStyle w:val="NoSpacing"/>
        <w:numPr>
          <w:ilvl w:val="0"/>
          <w:numId w:val="7"/>
        </w:numPr>
        <w:rPr>
          <w:rFonts w:asciiTheme="minorHAnsi" w:hAnsiTheme="minorHAnsi" w:cstheme="minorHAnsi"/>
          <w:sz w:val="20"/>
          <w:szCs w:val="20"/>
        </w:rPr>
      </w:pPr>
      <w:r w:rsidRPr="00833888">
        <w:rPr>
          <w:rFonts w:asciiTheme="minorHAnsi" w:hAnsiTheme="minorHAnsi" w:cstheme="minorHAnsi"/>
          <w:sz w:val="20"/>
          <w:szCs w:val="20"/>
        </w:rPr>
        <w:t xml:space="preserve">There is </w:t>
      </w:r>
      <w:r w:rsidR="00586B26">
        <w:rPr>
          <w:rFonts w:asciiTheme="minorHAnsi" w:hAnsiTheme="minorHAnsi" w:cstheme="minorHAnsi"/>
          <w:sz w:val="20"/>
          <w:szCs w:val="20"/>
        </w:rPr>
        <w:t>currently no plan to provide extra credit for this course.</w:t>
      </w:r>
    </w:p>
    <w:p w14:paraId="152257A2" w14:textId="77777777" w:rsidR="002045D9" w:rsidRPr="00833888" w:rsidRDefault="002045D9" w:rsidP="002045D9">
      <w:pPr>
        <w:pStyle w:val="NoSpacing"/>
        <w:numPr>
          <w:ilvl w:val="0"/>
          <w:numId w:val="7"/>
        </w:numPr>
        <w:rPr>
          <w:rFonts w:asciiTheme="minorHAnsi" w:hAnsiTheme="minorHAnsi" w:cstheme="minorHAnsi"/>
          <w:sz w:val="20"/>
          <w:szCs w:val="20"/>
        </w:rPr>
      </w:pPr>
      <w:r w:rsidRPr="00833888">
        <w:rPr>
          <w:rFonts w:asciiTheme="minorHAnsi" w:hAnsiTheme="minorHAnsi" w:cstheme="minorHAnsi"/>
          <w:sz w:val="20"/>
          <w:szCs w:val="20"/>
        </w:rPr>
        <w:t>Grade cut-off points are set to reflect a policy of rounding to the closest percentage point.</w:t>
      </w:r>
    </w:p>
    <w:p w14:paraId="61889E2B" w14:textId="77777777" w:rsidR="002045D9" w:rsidRPr="00833888" w:rsidRDefault="002045D9" w:rsidP="002045D9">
      <w:pPr>
        <w:pStyle w:val="NoSpacing"/>
        <w:numPr>
          <w:ilvl w:val="0"/>
          <w:numId w:val="7"/>
        </w:numPr>
        <w:rPr>
          <w:rFonts w:asciiTheme="minorHAnsi" w:hAnsiTheme="minorHAnsi" w:cstheme="minorHAnsi"/>
          <w:sz w:val="20"/>
          <w:szCs w:val="20"/>
        </w:rPr>
      </w:pPr>
      <w:r w:rsidRPr="00833888">
        <w:rPr>
          <w:rFonts w:asciiTheme="minorHAnsi" w:hAnsiTheme="minorHAnsi" w:cstheme="minorHAnsi"/>
          <w:sz w:val="20"/>
          <w:szCs w:val="20"/>
        </w:rPr>
        <w:t xml:space="preserve">As a matter of academic integrity grade cut-offs must exist and they must be consistent. Please do not email me or otherwise endeavor to request a “grade bump” or “rounding up” of your grade at the end of the academic quarter.  I empathize with the frustration that a near miss of a desired grade engenders, but I cannot arbitrarily bump course grades. </w:t>
      </w:r>
    </w:p>
    <w:p w14:paraId="5128B9ED" w14:textId="77777777" w:rsidR="002045D9" w:rsidRPr="00833888" w:rsidRDefault="002045D9" w:rsidP="002045D9">
      <w:pPr>
        <w:pStyle w:val="NoSpacing"/>
        <w:rPr>
          <w:rFonts w:asciiTheme="minorHAnsi" w:hAnsiTheme="minorHAnsi" w:cstheme="minorHAnsi"/>
          <w:sz w:val="20"/>
          <w:szCs w:val="20"/>
        </w:rPr>
      </w:pPr>
    </w:p>
    <w:p w14:paraId="22719EED"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Difficulty with Course Subject Matter</w:t>
      </w:r>
    </w:p>
    <w:p w14:paraId="7BEABE2A" w14:textId="77777777" w:rsidR="002045D9" w:rsidRPr="00833888" w:rsidRDefault="002045D9" w:rsidP="002045D9">
      <w:pPr>
        <w:pStyle w:val="NoSpacing"/>
        <w:rPr>
          <w:rFonts w:asciiTheme="minorHAnsi" w:hAnsiTheme="minorHAnsi" w:cstheme="minorHAnsi"/>
          <w:sz w:val="20"/>
          <w:szCs w:val="20"/>
        </w:rPr>
      </w:pPr>
    </w:p>
    <w:p w14:paraId="3ACE067B" w14:textId="316D1F5E" w:rsidR="009825FC"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 xml:space="preserve">This course deals with issues related </w:t>
      </w:r>
      <w:r w:rsidR="009825FC">
        <w:rPr>
          <w:rFonts w:asciiTheme="minorHAnsi" w:hAnsiTheme="minorHAnsi" w:cstheme="minorHAnsi"/>
          <w:sz w:val="20"/>
          <w:szCs w:val="20"/>
        </w:rPr>
        <w:t xml:space="preserve">bodies and embodiment, these are deeply personal matters.  </w:t>
      </w:r>
      <w:r w:rsidR="005A107B">
        <w:rPr>
          <w:rFonts w:asciiTheme="minorHAnsi" w:hAnsiTheme="minorHAnsi" w:cstheme="minorHAnsi"/>
          <w:sz w:val="20"/>
          <w:szCs w:val="20"/>
        </w:rPr>
        <w:t>Much is stored in the body and reading about the way bodies are imbued with meaning, constructed socially, used, utilized, modified, technologized, politicized, and disciplined can bring up a variety of emotions. Should the course matter evoke difficult emotions for you, I encourage you to sit with those feelings and see what they have to tell you. Self reflection in this manner can be a valuable autoethnographic process.  You are welcome to include such musings in your weekly memo, should that feel appropriate to you.  However, if the emotions evoked feel overwhelming I encourage you to reach out to CAPS or one of the other resources below.</w:t>
      </w:r>
    </w:p>
    <w:p w14:paraId="71EF1220" w14:textId="77777777" w:rsidR="005A107B" w:rsidRDefault="005A107B" w:rsidP="002045D9">
      <w:pPr>
        <w:pStyle w:val="NoSpacing"/>
        <w:rPr>
          <w:rFonts w:asciiTheme="minorHAnsi" w:hAnsiTheme="minorHAnsi" w:cstheme="minorHAnsi"/>
          <w:sz w:val="20"/>
          <w:szCs w:val="20"/>
        </w:rPr>
      </w:pPr>
    </w:p>
    <w:p w14:paraId="17FCAB8A" w14:textId="77777777" w:rsidR="00C245AF" w:rsidRDefault="005A107B" w:rsidP="002045D9">
      <w:pPr>
        <w:pStyle w:val="NoSpacing"/>
        <w:rPr>
          <w:rFonts w:asciiTheme="minorHAnsi" w:hAnsiTheme="minorHAnsi" w:cstheme="minorHAnsi"/>
          <w:sz w:val="20"/>
          <w:szCs w:val="20"/>
        </w:rPr>
      </w:pPr>
      <w:r>
        <w:rPr>
          <w:rFonts w:asciiTheme="minorHAnsi" w:hAnsiTheme="minorHAnsi" w:cstheme="minorHAnsi"/>
          <w:sz w:val="20"/>
          <w:szCs w:val="20"/>
        </w:rPr>
        <w:t xml:space="preserve">Regarding “trigger” or “content” warnings.  The triggers for trauma are so immense and varied, it would not be possible for me to adequately warn all students of potential content.  Please be aware that this course does deal with a variety of subjects that can be sensitive including (but not limited to): weight loss, weight gain, eating disorders, pregnancy, pregnancy loss/abortion, death and dying, raced and gendered bodies, experiences of discrimination, violence, body modifications, and health. </w:t>
      </w:r>
      <w:r w:rsidR="003E4489">
        <w:rPr>
          <w:rFonts w:asciiTheme="minorHAnsi" w:hAnsiTheme="minorHAnsi" w:cstheme="minorHAnsi"/>
          <w:sz w:val="20"/>
          <w:szCs w:val="20"/>
        </w:rPr>
        <w:t xml:space="preserve">  </w:t>
      </w:r>
      <w:r w:rsidR="002045D9" w:rsidRPr="00833888">
        <w:rPr>
          <w:rFonts w:asciiTheme="minorHAnsi" w:hAnsiTheme="minorHAnsi" w:cstheme="minorHAnsi"/>
          <w:sz w:val="20"/>
          <w:szCs w:val="20"/>
        </w:rPr>
        <w:t xml:space="preserve">While I do care about my students and their experiences and I am available to listen to you, I am not a licensed counselor and I am not qualified to provide clinical support. </w:t>
      </w:r>
    </w:p>
    <w:p w14:paraId="60514693" w14:textId="77777777" w:rsidR="00C245AF" w:rsidRDefault="00C245AF" w:rsidP="002045D9">
      <w:pPr>
        <w:pStyle w:val="NoSpacing"/>
        <w:rPr>
          <w:rFonts w:asciiTheme="minorHAnsi" w:hAnsiTheme="minorHAnsi" w:cstheme="minorHAnsi"/>
          <w:sz w:val="20"/>
          <w:szCs w:val="20"/>
        </w:rPr>
      </w:pPr>
    </w:p>
    <w:p w14:paraId="778E49D0" w14:textId="50A9431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w:t>
      </w:r>
      <w:r w:rsidR="00C245AF">
        <w:rPr>
          <w:rFonts w:asciiTheme="minorHAnsi" w:hAnsiTheme="minorHAnsi" w:cstheme="minorHAnsi"/>
          <w:sz w:val="20"/>
          <w:szCs w:val="20"/>
        </w:rPr>
        <w:t xml:space="preserve">n the event of a </w:t>
      </w:r>
      <w:r w:rsidRPr="00833888">
        <w:rPr>
          <w:rFonts w:asciiTheme="minorHAnsi" w:hAnsiTheme="minorHAnsi" w:cstheme="minorHAnsi"/>
          <w:sz w:val="20"/>
          <w:szCs w:val="20"/>
        </w:rPr>
        <w:t>medical or life-threatening emergency you should dial 911.  The national suicide hotline is available by dialing 988.</w:t>
      </w:r>
    </w:p>
    <w:p w14:paraId="28B2BACF" w14:textId="77777777" w:rsidR="002045D9" w:rsidRPr="00833888" w:rsidRDefault="002045D9" w:rsidP="002045D9">
      <w:pPr>
        <w:pStyle w:val="NoSpacing"/>
        <w:rPr>
          <w:rFonts w:asciiTheme="minorHAnsi" w:hAnsiTheme="minorHAnsi" w:cstheme="minorHAnsi"/>
          <w:sz w:val="20"/>
          <w:szCs w:val="20"/>
        </w:rPr>
      </w:pPr>
    </w:p>
    <w:p w14:paraId="6BB54F9E" w14:textId="520825E1"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CAPS Central Office and Urgent Care: 858-534- 3755</w:t>
      </w:r>
    </w:p>
    <w:p w14:paraId="25BC57FC"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lastRenderedPageBreak/>
        <w:t>CAPS After-Hours Crisis Counseling (24 hours): 858-534-3755</w:t>
      </w:r>
    </w:p>
    <w:p w14:paraId="4588347D" w14:textId="18C0C1C2"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 xml:space="preserve">Suicide Crisis Hotline: 988 - Chat option available on their website: </w:t>
      </w:r>
      <w:hyperlink r:id="rId17" w:history="1">
        <w:r w:rsidR="004C3846" w:rsidRPr="008823B1">
          <w:rPr>
            <w:rStyle w:val="Hyperlink"/>
            <w:rFonts w:asciiTheme="minorHAnsi" w:hAnsiTheme="minorHAnsi" w:cstheme="minorHAnsi"/>
            <w:sz w:val="20"/>
            <w:szCs w:val="20"/>
          </w:rPr>
          <w:t>https://suicidepreventionlifeline.org</w:t>
        </w:r>
      </w:hyperlink>
      <w:r w:rsidR="004C3846">
        <w:rPr>
          <w:rFonts w:asciiTheme="minorHAnsi" w:hAnsiTheme="minorHAnsi" w:cstheme="minorHAnsi"/>
          <w:sz w:val="20"/>
          <w:szCs w:val="20"/>
        </w:rPr>
        <w:t xml:space="preserve"> </w:t>
      </w:r>
    </w:p>
    <w:p w14:paraId="1552865D"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Access and Crisis Line: 888-724-7240</w:t>
      </w:r>
    </w:p>
    <w:p w14:paraId="19F9674B"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San Diego Warm Line (Non-emergency, but in need of support): 800-930-9276</w:t>
      </w:r>
    </w:p>
    <w:p w14:paraId="0FFC62FE"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NAMI San Diego Family and Peer Support Helpline: 619-543-1434, 800-523-5933</w:t>
      </w:r>
    </w:p>
    <w:p w14:paraId="606E6D55" w14:textId="77777777" w:rsidR="002045D9"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2-1-1 San Diego – helps you navigate access to mental health services in San Diego</w:t>
      </w:r>
    </w:p>
    <w:p w14:paraId="6CE4C6F1" w14:textId="1D3E69AC" w:rsidR="006B3F37" w:rsidRDefault="006B3F37" w:rsidP="002045D9">
      <w:pPr>
        <w:pStyle w:val="NoSpacing"/>
        <w:rPr>
          <w:rFonts w:asciiTheme="minorHAnsi" w:hAnsiTheme="minorHAnsi" w:cstheme="minorHAnsi"/>
          <w:sz w:val="20"/>
          <w:szCs w:val="20"/>
        </w:rPr>
      </w:pPr>
      <w:r>
        <w:rPr>
          <w:rFonts w:asciiTheme="minorHAnsi" w:hAnsiTheme="minorHAnsi" w:cstheme="minorHAnsi"/>
          <w:sz w:val="20"/>
          <w:szCs w:val="20"/>
        </w:rPr>
        <w:t xml:space="preserve">RAINN </w:t>
      </w:r>
      <w:r w:rsidR="00ED5767">
        <w:rPr>
          <w:rFonts w:asciiTheme="minorHAnsi" w:hAnsiTheme="minorHAnsi" w:cstheme="minorHAnsi"/>
          <w:sz w:val="20"/>
          <w:szCs w:val="20"/>
        </w:rPr>
        <w:t xml:space="preserve">hope and healing hotline (phone, text, and live-chat available) </w:t>
      </w:r>
      <w:hyperlink r:id="rId18" w:history="1">
        <w:r w:rsidR="004C3846" w:rsidRPr="008823B1">
          <w:rPr>
            <w:rStyle w:val="Hyperlink"/>
            <w:rFonts w:asciiTheme="minorHAnsi" w:hAnsiTheme="minorHAnsi" w:cstheme="minorHAnsi"/>
            <w:sz w:val="20"/>
            <w:szCs w:val="20"/>
          </w:rPr>
          <w:t>https://rainn.org/help-and-healing/hotline/</w:t>
        </w:r>
      </w:hyperlink>
      <w:r w:rsidR="004C3846">
        <w:rPr>
          <w:rFonts w:asciiTheme="minorHAnsi" w:hAnsiTheme="minorHAnsi" w:cstheme="minorHAnsi"/>
          <w:sz w:val="20"/>
          <w:szCs w:val="20"/>
        </w:rPr>
        <w:t xml:space="preserve"> </w:t>
      </w:r>
    </w:p>
    <w:p w14:paraId="4B041788" w14:textId="49A5C8E3" w:rsidR="009E3712" w:rsidRPr="00833888" w:rsidRDefault="009E3712" w:rsidP="002045D9">
      <w:pPr>
        <w:pStyle w:val="NoSpacing"/>
        <w:rPr>
          <w:rFonts w:asciiTheme="minorHAnsi" w:hAnsiTheme="minorHAnsi" w:cstheme="minorHAnsi"/>
          <w:sz w:val="20"/>
          <w:szCs w:val="20"/>
        </w:rPr>
      </w:pPr>
      <w:r w:rsidRPr="009E3712">
        <w:rPr>
          <w:rFonts w:asciiTheme="minorHAnsi" w:hAnsiTheme="minorHAnsi" w:cstheme="minorHAnsi"/>
          <w:sz w:val="20"/>
          <w:szCs w:val="20"/>
          <w:lang w:val="en"/>
        </w:rPr>
        <w:t xml:space="preserve">National Eating Disorders Association Helpline: Call </w:t>
      </w:r>
      <w:r w:rsidRPr="009E3712">
        <w:rPr>
          <w:rFonts w:asciiTheme="minorHAnsi" w:hAnsiTheme="minorHAnsi" w:cstheme="minorHAnsi"/>
          <w:b/>
          <w:bCs/>
          <w:sz w:val="20"/>
          <w:szCs w:val="20"/>
          <w:lang w:val="en"/>
        </w:rPr>
        <w:t>1-800-931-2237</w:t>
      </w:r>
      <w:r w:rsidRPr="009E3712">
        <w:rPr>
          <w:rFonts w:asciiTheme="minorHAnsi" w:hAnsiTheme="minorHAnsi" w:cstheme="minorHAnsi"/>
          <w:sz w:val="20"/>
          <w:szCs w:val="20"/>
          <w:lang w:val="en"/>
        </w:rPr>
        <w:t xml:space="preserve"> or text NEDA to 741741.</w:t>
      </w:r>
    </w:p>
    <w:p w14:paraId="07654587" w14:textId="77777777" w:rsidR="002045D9" w:rsidRPr="00833888" w:rsidRDefault="002045D9" w:rsidP="002045D9">
      <w:pPr>
        <w:pStyle w:val="NoSpacing"/>
        <w:rPr>
          <w:rFonts w:asciiTheme="minorHAnsi" w:hAnsiTheme="minorHAnsi" w:cstheme="minorHAnsi"/>
          <w:sz w:val="20"/>
          <w:szCs w:val="20"/>
        </w:rPr>
      </w:pPr>
    </w:p>
    <w:p w14:paraId="5328F1E2" w14:textId="77777777" w:rsidR="002045D9" w:rsidRPr="00833888" w:rsidRDefault="002045D9" w:rsidP="002045D9">
      <w:pPr>
        <w:pStyle w:val="Heading2"/>
        <w:rPr>
          <w:rFonts w:asciiTheme="minorHAnsi" w:hAnsiTheme="minorHAnsi"/>
          <w:sz w:val="20"/>
          <w:szCs w:val="20"/>
        </w:rPr>
      </w:pPr>
      <w:r w:rsidRPr="00833888">
        <w:rPr>
          <w:rFonts w:asciiTheme="minorHAnsi" w:hAnsiTheme="minorHAnsi"/>
          <w:sz w:val="20"/>
          <w:szCs w:val="20"/>
        </w:rPr>
        <w:t>Food Support for Students</w:t>
      </w:r>
    </w:p>
    <w:p w14:paraId="64D43A86" w14:textId="77777777" w:rsidR="002045D9" w:rsidRPr="00833888" w:rsidRDefault="002045D9" w:rsidP="002045D9">
      <w:pPr>
        <w:pStyle w:val="NoSpacing"/>
        <w:rPr>
          <w:rFonts w:asciiTheme="minorHAnsi" w:hAnsiTheme="minorHAnsi" w:cstheme="minorHAnsi"/>
          <w:sz w:val="20"/>
          <w:szCs w:val="20"/>
        </w:rPr>
      </w:pPr>
      <w:r w:rsidRPr="00833888">
        <w:rPr>
          <w:rFonts w:asciiTheme="minorHAnsi" w:hAnsiTheme="minorHAnsi" w:cstheme="minorHAnsi"/>
          <w:sz w:val="20"/>
          <w:szCs w:val="20"/>
        </w:rPr>
        <w:t>If you are skipping and stretching meals, or having difficulties affording or accessing food, you may be eligible for CalFresh, California’s Supplemental Nutrition Assistance Program, that can provide up to $292 a month in free money on a debit card to buy food. Students can apply at “benefitscal.com/r/ucsandiegocalfresh” The Hub Basic Needs Center empowers all students by connecting them to resources for food, stable housing and financial literacy. Visit their site at basicneeds.ucsd.edu </w:t>
      </w:r>
    </w:p>
    <w:p w14:paraId="282CE76E" w14:textId="77777777" w:rsidR="002045D9" w:rsidRDefault="002045D9" w:rsidP="00275A40">
      <w:pPr>
        <w:pStyle w:val="Checkbox"/>
        <w:ind w:left="0" w:firstLine="0"/>
        <w:rPr>
          <w:b/>
          <w:szCs w:val="20"/>
        </w:rPr>
      </w:pPr>
    </w:p>
    <w:p w14:paraId="561E9C37" w14:textId="46A3D407" w:rsidR="002664CE" w:rsidRDefault="002664CE" w:rsidP="002664CE">
      <w:pPr>
        <w:pStyle w:val="Subtitle1"/>
      </w:pPr>
      <w:r>
        <w:t>Preliminary Course Schedule</w:t>
      </w:r>
    </w:p>
    <w:tbl>
      <w:tblPr>
        <w:tblStyle w:val="TableGrid"/>
        <w:tblW w:w="9447" w:type="dxa"/>
        <w:tblLayout w:type="fixed"/>
        <w:tblLook w:val="04A0" w:firstRow="1" w:lastRow="0" w:firstColumn="1" w:lastColumn="0" w:noHBand="0" w:noVBand="1"/>
      </w:tblPr>
      <w:tblGrid>
        <w:gridCol w:w="1527"/>
        <w:gridCol w:w="3960"/>
        <w:gridCol w:w="3960"/>
      </w:tblGrid>
      <w:tr w:rsidR="00C56C70" w14:paraId="5C157EE1" w14:textId="77777777" w:rsidTr="004448A4">
        <w:tc>
          <w:tcPr>
            <w:tcW w:w="1527" w:type="dxa"/>
          </w:tcPr>
          <w:p w14:paraId="3E117110" w14:textId="77777777" w:rsidR="00C56C70" w:rsidRDefault="00C56C70" w:rsidP="004448A4">
            <w:pPr>
              <w:pStyle w:val="Subtitle1"/>
            </w:pPr>
            <w:r>
              <w:t>Week</w:t>
            </w:r>
          </w:p>
        </w:tc>
        <w:tc>
          <w:tcPr>
            <w:tcW w:w="3960" w:type="dxa"/>
          </w:tcPr>
          <w:p w14:paraId="3E2B4323" w14:textId="77777777" w:rsidR="00C56C70" w:rsidRDefault="00C56C70" w:rsidP="004448A4">
            <w:pPr>
              <w:pStyle w:val="Subtitle1"/>
            </w:pPr>
            <w:r>
              <w:t>Tuesday</w:t>
            </w:r>
          </w:p>
        </w:tc>
        <w:tc>
          <w:tcPr>
            <w:tcW w:w="3960" w:type="dxa"/>
          </w:tcPr>
          <w:p w14:paraId="1CBB64C4" w14:textId="77777777" w:rsidR="00C56C70" w:rsidRDefault="00C56C70" w:rsidP="004448A4">
            <w:pPr>
              <w:pStyle w:val="Subtitle1"/>
            </w:pPr>
            <w:r>
              <w:t>Thursday</w:t>
            </w:r>
          </w:p>
        </w:tc>
      </w:tr>
      <w:tr w:rsidR="00C56C70" w14:paraId="54B2C1E6" w14:textId="77777777" w:rsidTr="004448A4">
        <w:tc>
          <w:tcPr>
            <w:tcW w:w="1527" w:type="dxa"/>
          </w:tcPr>
          <w:p w14:paraId="3FB1691C" w14:textId="77777777" w:rsidR="00C56C70" w:rsidRDefault="00C56C70" w:rsidP="004448A4">
            <w:pPr>
              <w:pStyle w:val="Row"/>
            </w:pPr>
            <w:r w:rsidRPr="00361359">
              <w:t>Week 1</w:t>
            </w:r>
          </w:p>
          <w:p w14:paraId="141A3C2E" w14:textId="77777777" w:rsidR="00C56C70" w:rsidRDefault="00C56C70" w:rsidP="004448A4">
            <w:pPr>
              <w:pStyle w:val="Row"/>
            </w:pPr>
          </w:p>
          <w:p w14:paraId="4D835E7E" w14:textId="77777777" w:rsidR="00C56C70" w:rsidRDefault="00C56C70" w:rsidP="004448A4">
            <w:pPr>
              <w:pStyle w:val="Row"/>
            </w:pPr>
          </w:p>
          <w:p w14:paraId="43CCE0F0" w14:textId="77777777" w:rsidR="00C56C70" w:rsidRPr="00361359" w:rsidRDefault="00C56C70" w:rsidP="004448A4">
            <w:pPr>
              <w:pStyle w:val="Row"/>
            </w:pPr>
          </w:p>
        </w:tc>
        <w:tc>
          <w:tcPr>
            <w:tcW w:w="3960" w:type="dxa"/>
          </w:tcPr>
          <w:p w14:paraId="25DE36DF" w14:textId="77777777" w:rsidR="00C56C70" w:rsidRDefault="00C56C70" w:rsidP="004448A4">
            <w:pPr>
              <w:pStyle w:val="rowdate"/>
            </w:pPr>
            <w:r>
              <w:t>March 31</w:t>
            </w:r>
          </w:p>
          <w:p w14:paraId="58EBE120" w14:textId="77777777" w:rsidR="00C56C70" w:rsidRDefault="00C56C70" w:rsidP="004448A4">
            <w:pPr>
              <w:pStyle w:val="Row"/>
            </w:pPr>
            <w:r>
              <w:t>Lecture: Welcome to the Course</w:t>
            </w:r>
          </w:p>
          <w:p w14:paraId="6C2879D7" w14:textId="77777777" w:rsidR="00C56C70" w:rsidRDefault="00C56C70" w:rsidP="004448A4"/>
          <w:p w14:paraId="67D7188D" w14:textId="77777777" w:rsidR="00C56C70" w:rsidRDefault="00C56C70" w:rsidP="004448A4">
            <w:r w:rsidRPr="00D3765F">
              <w:t xml:space="preserve">Nettleton, Sarah. 2021. “The Sociology of the Body.” In </w:t>
            </w:r>
            <w:r w:rsidRPr="00D3765F">
              <w:rPr>
                <w:i/>
                <w:iCs/>
              </w:rPr>
              <w:t>The Wiley Blackwell Companion to Medical Sociology</w:t>
            </w:r>
            <w:r w:rsidRPr="00D3765F">
              <w:t xml:space="preserve">, edited by William C. Cockerham. John Wiley &amp; Sons, Inc. </w:t>
            </w:r>
            <w:hyperlink r:id="rId19" w:history="1">
              <w:r w:rsidRPr="004A3892">
                <w:rPr>
                  <w:rStyle w:val="Hyperlink"/>
                </w:rPr>
                <w:t>https://doi.org/10.1002/9781119633808.ch6</w:t>
              </w:r>
            </w:hyperlink>
          </w:p>
          <w:p w14:paraId="41D5C558" w14:textId="77777777" w:rsidR="00C56C70" w:rsidRPr="00D3765F" w:rsidRDefault="00C56C70" w:rsidP="004448A4"/>
          <w:p w14:paraId="41009EEE" w14:textId="77777777" w:rsidR="00C56C70" w:rsidRDefault="00C56C70" w:rsidP="004448A4"/>
        </w:tc>
        <w:tc>
          <w:tcPr>
            <w:tcW w:w="3960" w:type="dxa"/>
          </w:tcPr>
          <w:p w14:paraId="4FDDE1C2" w14:textId="77777777" w:rsidR="00C56C70" w:rsidRDefault="00C56C70" w:rsidP="004448A4">
            <w:pPr>
              <w:pStyle w:val="rowdate"/>
            </w:pPr>
            <w:r>
              <w:t>April 2</w:t>
            </w:r>
          </w:p>
          <w:p w14:paraId="0E2AAC64" w14:textId="77777777" w:rsidR="00C56C70" w:rsidRDefault="00C56C70" w:rsidP="004448A4">
            <w:pPr>
              <w:pStyle w:val="Row"/>
            </w:pPr>
            <w:r>
              <w:t>Lecture:  Social Construction of the Body</w:t>
            </w:r>
          </w:p>
          <w:p w14:paraId="162434CC" w14:textId="77777777" w:rsidR="00C56C70" w:rsidRDefault="00C56C70" w:rsidP="004448A4">
            <w:pPr>
              <w:pStyle w:val="Row"/>
            </w:pPr>
          </w:p>
          <w:p w14:paraId="060A3FFE" w14:textId="77777777" w:rsidR="00C56C70" w:rsidRDefault="00C56C70" w:rsidP="004448A4">
            <w:pPr>
              <w:pStyle w:val="Row"/>
            </w:pPr>
            <w:r w:rsidRPr="007727E6">
              <w:t xml:space="preserve">Synnott, A. (1992). Tomb, temple, machine and self: The social construction of the body. </w:t>
            </w:r>
            <w:r w:rsidRPr="007727E6">
              <w:rPr>
                <w:i/>
                <w:iCs/>
              </w:rPr>
              <w:t>British Journal of Sociology</w:t>
            </w:r>
            <w:r w:rsidRPr="007727E6">
              <w:t>, 79-110.</w:t>
            </w:r>
          </w:p>
          <w:p w14:paraId="5245AA7F" w14:textId="77777777" w:rsidR="00C56C70" w:rsidRDefault="00C56C70" w:rsidP="004448A4">
            <w:pPr>
              <w:pStyle w:val="Row"/>
            </w:pPr>
          </w:p>
          <w:p w14:paraId="55AA9EF4" w14:textId="77777777" w:rsidR="00C56C70" w:rsidRPr="00C16214" w:rsidRDefault="00C56C70" w:rsidP="004448A4">
            <w:pPr>
              <w:pStyle w:val="Row"/>
            </w:pPr>
            <w:r>
              <w:t xml:space="preserve">(Optional) </w:t>
            </w:r>
            <w:r w:rsidRPr="00C16214">
              <w:t xml:space="preserve">Lorber, Judith, and Patricia Yancey Martin. 2012. “The Socially Constructed Body: Insights From Feminist Theory.” In </w:t>
            </w:r>
            <w:r w:rsidRPr="00C16214">
              <w:rPr>
                <w:i/>
                <w:iCs/>
              </w:rPr>
              <w:t>Illuminating Social Life</w:t>
            </w:r>
            <w:r w:rsidRPr="00C16214">
              <w:t xml:space="preserve">, edited by Peter Kivisto. SAGE Publications, Incorporated. </w:t>
            </w:r>
            <w:hyperlink r:id="rId20" w:history="1">
              <w:r w:rsidRPr="00C16214">
                <w:rPr>
                  <w:rStyle w:val="Hyperlink"/>
                </w:rPr>
                <w:t>https://doi.org/10.4135/9781506335483.n11</w:t>
              </w:r>
            </w:hyperlink>
            <w:r>
              <w:t xml:space="preserve"> </w:t>
            </w:r>
          </w:p>
          <w:p w14:paraId="0DA0E829" w14:textId="77777777" w:rsidR="00C56C70" w:rsidRDefault="00C56C70" w:rsidP="004448A4">
            <w:pPr>
              <w:pStyle w:val="Row"/>
            </w:pPr>
          </w:p>
          <w:p w14:paraId="70F7277C" w14:textId="77777777" w:rsidR="00C56C70" w:rsidRDefault="00C56C70" w:rsidP="004448A4">
            <w:pPr>
              <w:pStyle w:val="Row"/>
            </w:pPr>
          </w:p>
        </w:tc>
      </w:tr>
      <w:tr w:rsidR="00C56C70" w14:paraId="21ED9582" w14:textId="77777777" w:rsidTr="004448A4">
        <w:tc>
          <w:tcPr>
            <w:tcW w:w="1527" w:type="dxa"/>
          </w:tcPr>
          <w:p w14:paraId="68C56626" w14:textId="77777777" w:rsidR="00C56C70" w:rsidRDefault="00C56C70" w:rsidP="004448A4">
            <w:pPr>
              <w:pStyle w:val="Row"/>
            </w:pPr>
            <w:r>
              <w:t>Week 2</w:t>
            </w:r>
          </w:p>
        </w:tc>
        <w:tc>
          <w:tcPr>
            <w:tcW w:w="3960" w:type="dxa"/>
          </w:tcPr>
          <w:p w14:paraId="77ECB896" w14:textId="77777777" w:rsidR="00C56C70" w:rsidRDefault="00C56C70" w:rsidP="004448A4">
            <w:pPr>
              <w:pStyle w:val="rowdate"/>
            </w:pPr>
            <w:r>
              <w:t>April 7</w:t>
            </w:r>
          </w:p>
          <w:p w14:paraId="4F724B33" w14:textId="77777777" w:rsidR="00C56C70" w:rsidRDefault="00C56C70" w:rsidP="004448A4">
            <w:pPr>
              <w:pStyle w:val="Row"/>
            </w:pPr>
            <w:r>
              <w:t xml:space="preserve">Lecture: No Lecture Today – Field Work Assigned.  </w:t>
            </w:r>
          </w:p>
          <w:p w14:paraId="6EBBD557" w14:textId="77777777" w:rsidR="00C56C70" w:rsidRDefault="00C56C70" w:rsidP="004448A4">
            <w:pPr>
              <w:pStyle w:val="Row"/>
            </w:pPr>
          </w:p>
          <w:p w14:paraId="36F46770" w14:textId="77777777" w:rsidR="00C56C70" w:rsidRDefault="00C56C70" w:rsidP="004448A4">
            <w:pPr>
              <w:pStyle w:val="Row"/>
            </w:pPr>
            <w:r w:rsidRPr="00E239C6">
              <w:t xml:space="preserve">Low, Kelvin E. Y, and Noorman Abdullah. 2020. “Sensory Experience </w:t>
            </w:r>
            <w:r w:rsidRPr="00E239C6">
              <w:lastRenderedPageBreak/>
              <w:t xml:space="preserve">AS Method.” In </w:t>
            </w:r>
            <w:r w:rsidRPr="00E239C6">
              <w:rPr>
                <w:i/>
                <w:iCs/>
              </w:rPr>
              <w:t>The Oxford Handbook of the Sociology of Body and Embodiment</w:t>
            </w:r>
            <w:r w:rsidRPr="00E239C6">
              <w:t xml:space="preserve">, edited by Natalie Boero and Katherine Mason. Oxford University Press. </w:t>
            </w:r>
            <w:hyperlink r:id="rId21" w:history="1">
              <w:r w:rsidRPr="00E239C6">
                <w:rPr>
                  <w:rStyle w:val="Hyperlink"/>
                </w:rPr>
                <w:t>https://doi.org/10.1093/oxfordhb/9780190842475.013.4</w:t>
              </w:r>
            </w:hyperlink>
          </w:p>
          <w:p w14:paraId="5930FED7" w14:textId="77777777" w:rsidR="00C56C70" w:rsidRPr="00E239C6" w:rsidRDefault="00C56C70" w:rsidP="004448A4">
            <w:pPr>
              <w:pStyle w:val="Row"/>
            </w:pPr>
          </w:p>
          <w:p w14:paraId="47AD5F10" w14:textId="77777777" w:rsidR="00C56C70" w:rsidRDefault="00C56C70" w:rsidP="004448A4">
            <w:r>
              <w:t>Judith Okely. (2007). “Fieldwork Embodied,” Sociological Review. 55(1). 65-79.</w:t>
            </w:r>
          </w:p>
          <w:p w14:paraId="6124C44C" w14:textId="77777777" w:rsidR="00C56C70" w:rsidRDefault="00C56C70" w:rsidP="004448A4">
            <w:pPr>
              <w:pStyle w:val="Row"/>
            </w:pPr>
          </w:p>
          <w:p w14:paraId="5A8B8F7E" w14:textId="77777777" w:rsidR="00C56C70" w:rsidRDefault="00C56C70" w:rsidP="004448A4">
            <w:pPr>
              <w:pStyle w:val="Row"/>
            </w:pPr>
          </w:p>
          <w:p w14:paraId="370CC697" w14:textId="77777777" w:rsidR="00C56C70" w:rsidRDefault="00C56C70" w:rsidP="004448A4">
            <w:pPr>
              <w:pStyle w:val="Row"/>
            </w:pPr>
          </w:p>
        </w:tc>
        <w:tc>
          <w:tcPr>
            <w:tcW w:w="3960" w:type="dxa"/>
          </w:tcPr>
          <w:p w14:paraId="002B6554" w14:textId="77777777" w:rsidR="00C56C70" w:rsidRDefault="00C56C70" w:rsidP="004448A4">
            <w:pPr>
              <w:pStyle w:val="rowdate"/>
            </w:pPr>
            <w:r>
              <w:lastRenderedPageBreak/>
              <w:t>April 9</w:t>
            </w:r>
          </w:p>
          <w:p w14:paraId="1BDAEC28" w14:textId="77777777" w:rsidR="00C56C70" w:rsidRDefault="00C56C70" w:rsidP="004448A4">
            <w:pPr>
              <w:pStyle w:val="Row"/>
            </w:pPr>
            <w:r>
              <w:t>Lecture: Sociological Theory on Embodied Experience</w:t>
            </w:r>
          </w:p>
          <w:p w14:paraId="38A28D8E" w14:textId="77777777" w:rsidR="00C56C70" w:rsidRDefault="00C56C70" w:rsidP="004448A4">
            <w:pPr>
              <w:pStyle w:val="Row"/>
            </w:pPr>
          </w:p>
          <w:p w14:paraId="4F1D4C56" w14:textId="77777777" w:rsidR="00C56C70" w:rsidRDefault="00C56C70" w:rsidP="004448A4">
            <w:r w:rsidRPr="007329FD">
              <w:lastRenderedPageBreak/>
              <w:t xml:space="preserve">DeMello, M. (2013). </w:t>
            </w:r>
            <w:r w:rsidRPr="007329FD">
              <w:rPr>
                <w:i/>
                <w:iCs/>
              </w:rPr>
              <w:t>Body studies: An introduction</w:t>
            </w:r>
            <w:r w:rsidRPr="007329FD">
              <w:t xml:space="preserve">. Routledge. Chapter 1 – “Theorizing the Body” pp. 3 </w:t>
            </w:r>
            <w:r>
              <w:t>–</w:t>
            </w:r>
            <w:r w:rsidRPr="007329FD">
              <w:t xml:space="preserve"> 20</w:t>
            </w:r>
          </w:p>
          <w:p w14:paraId="32067195" w14:textId="77777777" w:rsidR="00C56C70" w:rsidRPr="007329FD" w:rsidRDefault="00C56C70" w:rsidP="004448A4"/>
          <w:p w14:paraId="3C404203" w14:textId="77777777" w:rsidR="00C56C70" w:rsidRPr="00CE23A5" w:rsidRDefault="00C56C70" w:rsidP="004448A4">
            <w:pPr>
              <w:pStyle w:val="Row"/>
            </w:pPr>
            <w:r w:rsidRPr="00CE23A5">
              <w:t xml:space="preserve">Howson, Alexandra, and David Inglis. 2001. “The Body in Sociology: Tensions inside and Outside Sociological Thought.” </w:t>
            </w:r>
            <w:r w:rsidRPr="00CE23A5">
              <w:rPr>
                <w:i/>
                <w:iCs/>
              </w:rPr>
              <w:t>The Sociological Review (Keele)</w:t>
            </w:r>
            <w:r w:rsidRPr="00CE23A5">
              <w:t xml:space="preserve"> (Oxford, UK) 49 (3): 297–317. https://doi.org/10.1111/1467-954X.00333.</w:t>
            </w:r>
          </w:p>
          <w:p w14:paraId="0831419D" w14:textId="77777777" w:rsidR="00C56C70" w:rsidRDefault="00C56C70" w:rsidP="004448A4">
            <w:pPr>
              <w:pStyle w:val="Row"/>
            </w:pPr>
          </w:p>
          <w:p w14:paraId="64AED350" w14:textId="77777777" w:rsidR="00C56C70" w:rsidRDefault="00C56C70" w:rsidP="004448A4">
            <w:pPr>
              <w:pStyle w:val="Row"/>
            </w:pPr>
          </w:p>
        </w:tc>
      </w:tr>
      <w:tr w:rsidR="00C56C70" w14:paraId="4F614F75" w14:textId="77777777" w:rsidTr="004448A4">
        <w:tc>
          <w:tcPr>
            <w:tcW w:w="1527" w:type="dxa"/>
          </w:tcPr>
          <w:p w14:paraId="328D4FDA" w14:textId="77777777" w:rsidR="00C56C70" w:rsidRDefault="00C56C70" w:rsidP="004448A4">
            <w:pPr>
              <w:pStyle w:val="Row"/>
            </w:pPr>
            <w:r>
              <w:lastRenderedPageBreak/>
              <w:t>Week 3</w:t>
            </w:r>
          </w:p>
          <w:p w14:paraId="723D3DCD" w14:textId="77777777" w:rsidR="00C56C70" w:rsidRDefault="00C56C70" w:rsidP="004448A4">
            <w:pPr>
              <w:pStyle w:val="Row"/>
            </w:pPr>
          </w:p>
          <w:p w14:paraId="3278D8FC" w14:textId="77777777" w:rsidR="00C56C70" w:rsidRDefault="00C56C70" w:rsidP="004448A4">
            <w:pPr>
              <w:pStyle w:val="Row"/>
            </w:pPr>
            <w:r>
              <w:t>Embodiment</w:t>
            </w:r>
          </w:p>
        </w:tc>
        <w:tc>
          <w:tcPr>
            <w:tcW w:w="3960" w:type="dxa"/>
          </w:tcPr>
          <w:p w14:paraId="61290A98" w14:textId="77777777" w:rsidR="00C56C70" w:rsidRDefault="00C56C70" w:rsidP="004448A4">
            <w:pPr>
              <w:pStyle w:val="rowdate"/>
            </w:pPr>
            <w:r>
              <w:t>April 14</w:t>
            </w:r>
          </w:p>
          <w:p w14:paraId="7E885B42" w14:textId="77777777" w:rsidR="00C56C70" w:rsidRDefault="00C56C70" w:rsidP="004448A4">
            <w:r>
              <w:t>Lecture: Embodiment and Health</w:t>
            </w:r>
          </w:p>
          <w:p w14:paraId="5021DE59" w14:textId="77777777" w:rsidR="00C56C70" w:rsidRDefault="00C56C70" w:rsidP="004448A4"/>
          <w:p w14:paraId="3E5BE169" w14:textId="77777777" w:rsidR="00C56C70" w:rsidRDefault="00C56C70" w:rsidP="004448A4">
            <w:r>
              <w:t>Readings:</w:t>
            </w:r>
          </w:p>
          <w:p w14:paraId="65E35441" w14:textId="77777777" w:rsidR="00C56C70" w:rsidRDefault="00C56C70" w:rsidP="004448A4"/>
          <w:p w14:paraId="5D243D05" w14:textId="77777777" w:rsidR="00C56C70" w:rsidRPr="001864D7" w:rsidRDefault="00C56C70" w:rsidP="004448A4">
            <w:r w:rsidRPr="001864D7">
              <w:t xml:space="preserve">Krieger, Nancy. 2005. “Embodiment: A Conceptual Glossary for Epidemiology.” </w:t>
            </w:r>
            <w:r w:rsidRPr="001864D7">
              <w:rPr>
                <w:i/>
                <w:iCs/>
              </w:rPr>
              <w:t>Journal of Epidemiology and Community Health (1979)</w:t>
            </w:r>
            <w:r w:rsidRPr="001864D7">
              <w:t xml:space="preserve"> (London) 59 (5): 350–55. https://doi.org/10.1136/jech.2004.024562.</w:t>
            </w:r>
          </w:p>
          <w:p w14:paraId="5245C8E0" w14:textId="77777777" w:rsidR="00C56C70" w:rsidRDefault="00C56C70" w:rsidP="004448A4"/>
          <w:p w14:paraId="5A380DF8" w14:textId="77777777" w:rsidR="00C56C70" w:rsidRPr="00164280" w:rsidRDefault="00C56C70" w:rsidP="004448A4">
            <w:pPr>
              <w:pStyle w:val="Row"/>
            </w:pPr>
            <w:r w:rsidRPr="00164280">
              <w:t>Anne Fausto</w:t>
            </w:r>
            <w:r w:rsidRPr="00164280">
              <w:rPr>
                <w:rFonts w:ascii="Cambria Math" w:hAnsi="Cambria Math" w:cs="Cambria Math"/>
              </w:rPr>
              <w:t>‐</w:t>
            </w:r>
            <w:r w:rsidRPr="00164280">
              <w:t xml:space="preserve">Sterling. 2005. </w:t>
            </w:r>
            <w:r w:rsidRPr="00164280">
              <w:rPr>
                <w:rFonts w:ascii="Aptos" w:hAnsi="Aptos" w:cs="Aptos"/>
              </w:rPr>
              <w:t>“</w:t>
            </w:r>
            <w:r w:rsidRPr="00164280">
              <w:t>The Bare Bones of Sex: Part 1</w:t>
            </w:r>
            <w:r w:rsidRPr="00164280">
              <w:rPr>
                <w:rFonts w:ascii="Aptos" w:hAnsi="Aptos" w:cs="Aptos"/>
              </w:rPr>
              <w:t>—</w:t>
            </w:r>
            <w:r w:rsidRPr="00164280">
              <w:t>Sex and Gender.</w:t>
            </w:r>
            <w:r w:rsidRPr="00164280">
              <w:rPr>
                <w:rFonts w:ascii="Aptos" w:hAnsi="Aptos" w:cs="Aptos"/>
              </w:rPr>
              <w:t>”</w:t>
            </w:r>
            <w:r w:rsidRPr="00164280">
              <w:t xml:space="preserve"> </w:t>
            </w:r>
            <w:r w:rsidRPr="00164280">
              <w:rPr>
                <w:i/>
                <w:iCs/>
              </w:rPr>
              <w:t>Signs: Journal of Women in Culture and Society</w:t>
            </w:r>
            <w:r w:rsidRPr="00164280">
              <w:t xml:space="preserve"> (CHICAGO) 30 (2): 1491–527. https://doi.org/10.1086/424932.</w:t>
            </w:r>
          </w:p>
          <w:p w14:paraId="337CBFB5" w14:textId="77777777" w:rsidR="00C56C70" w:rsidRDefault="00C56C70" w:rsidP="004448A4"/>
        </w:tc>
        <w:tc>
          <w:tcPr>
            <w:tcW w:w="3960" w:type="dxa"/>
          </w:tcPr>
          <w:p w14:paraId="53D349B6" w14:textId="77777777" w:rsidR="00C56C70" w:rsidRDefault="00C56C70" w:rsidP="004448A4">
            <w:pPr>
              <w:pStyle w:val="rowdate"/>
            </w:pPr>
            <w:r>
              <w:t>April 16</w:t>
            </w:r>
          </w:p>
          <w:p w14:paraId="6BBFA57A" w14:textId="77777777" w:rsidR="00C56C70" w:rsidRDefault="00C56C70" w:rsidP="004448A4">
            <w:pPr>
              <w:rPr>
                <w:rStyle w:val="SubtleEmphasis"/>
                <w:color w:val="404040" w:themeColor="text2" w:themeTint="BF"/>
              </w:rPr>
            </w:pPr>
            <w:r w:rsidRPr="000F38E1">
              <w:rPr>
                <w:rStyle w:val="SubtleEmphasis"/>
                <w:color w:val="404040" w:themeColor="text2" w:themeTint="BF"/>
              </w:rPr>
              <w:t>Discussion:  Results of Field Work and “what is the body in the Sociological Imagination”</w:t>
            </w:r>
          </w:p>
          <w:p w14:paraId="323C3BC6" w14:textId="77777777" w:rsidR="00C56C70" w:rsidRDefault="00C56C70" w:rsidP="004448A4">
            <w:pPr>
              <w:rPr>
                <w:rStyle w:val="SubtleEmphasis"/>
                <w:color w:val="404040" w:themeColor="text2" w:themeTint="BF"/>
              </w:rPr>
            </w:pPr>
          </w:p>
          <w:p w14:paraId="4BCDD78C" w14:textId="77777777" w:rsidR="00C56C70" w:rsidRDefault="00C56C70" w:rsidP="004448A4">
            <w:pPr>
              <w:rPr>
                <w:rStyle w:val="SubtleEmphasis"/>
                <w:i w:val="0"/>
                <w:iCs w:val="0"/>
                <w:color w:val="404040" w:themeColor="text2" w:themeTint="BF"/>
              </w:rPr>
            </w:pPr>
            <w:r>
              <w:rPr>
                <w:rStyle w:val="SubtleEmphasis"/>
                <w:color w:val="404040" w:themeColor="text2" w:themeTint="BF"/>
              </w:rPr>
              <w:t>Readings:</w:t>
            </w:r>
          </w:p>
          <w:p w14:paraId="32D2EDAD" w14:textId="77777777" w:rsidR="00C56C70" w:rsidRDefault="00C56C70" w:rsidP="004448A4">
            <w:pPr>
              <w:rPr>
                <w:rStyle w:val="SubtleEmphasis"/>
                <w:i w:val="0"/>
                <w:iCs w:val="0"/>
                <w:color w:val="404040" w:themeColor="text2" w:themeTint="BF"/>
              </w:rPr>
            </w:pPr>
          </w:p>
          <w:p w14:paraId="60F4DB30" w14:textId="77777777" w:rsidR="00C56C70" w:rsidRDefault="00C56C70" w:rsidP="004448A4">
            <w:r>
              <w:t>Smith, David Woodruff, (2018), "Phenomenology", The Stanford Encyclopedia of Philosophy</w:t>
            </w:r>
          </w:p>
          <w:p w14:paraId="2C89BC5F" w14:textId="77777777" w:rsidR="00C56C70" w:rsidRDefault="00C56C70" w:rsidP="004448A4">
            <w:r>
              <w:t xml:space="preserve">Edward N. Zalta (ed.), &lt; </w:t>
            </w:r>
            <w:hyperlink r:id="rId22" w:history="1">
              <w:r w:rsidRPr="004A3892">
                <w:rPr>
                  <w:rStyle w:val="Hyperlink"/>
                </w:rPr>
                <w:t>https://plato.stanford.edu/archives/sum2018/entries/phenomenology/</w:t>
              </w:r>
            </w:hyperlink>
            <w:r>
              <w:t xml:space="preserve"> : 1-13 </w:t>
            </w:r>
          </w:p>
          <w:p w14:paraId="3B0C4C9F" w14:textId="77777777" w:rsidR="00C56C70" w:rsidRDefault="00C56C70" w:rsidP="004448A4"/>
          <w:p w14:paraId="61E44DDF" w14:textId="77777777" w:rsidR="00C56C70" w:rsidRPr="009467AA" w:rsidRDefault="00C56C70" w:rsidP="004448A4">
            <w:r w:rsidRPr="009467AA">
              <w:t xml:space="preserve">Bourdieu, Pierre. 2014. “The Habitus and the Space of Life-Styles: 1984.” In </w:t>
            </w:r>
            <w:r w:rsidRPr="009467AA">
              <w:rPr>
                <w:i/>
                <w:iCs/>
              </w:rPr>
              <w:t>The People, Place, and Space Reader</w:t>
            </w:r>
            <w:r w:rsidRPr="009467AA">
              <w:t xml:space="preserve">, 1st ed., edited by Setha Low, William Mangold, Susan Saegert, Cindi Katz, and Jen Jack Gieseking. Routledge. </w:t>
            </w:r>
            <w:r>
              <w:t>Available through library reserves</w:t>
            </w:r>
          </w:p>
          <w:p w14:paraId="0E8C4340" w14:textId="77777777" w:rsidR="00C56C70" w:rsidRPr="000F38E1" w:rsidRDefault="00C56C70" w:rsidP="004448A4">
            <w:pPr>
              <w:rPr>
                <w:rStyle w:val="SubtleEmphasis"/>
                <w:i w:val="0"/>
                <w:iCs w:val="0"/>
                <w:color w:val="404040" w:themeColor="text2" w:themeTint="BF"/>
              </w:rPr>
            </w:pPr>
          </w:p>
          <w:p w14:paraId="35FC9C8E" w14:textId="77777777" w:rsidR="00C56C70" w:rsidRDefault="00C56C70" w:rsidP="004448A4">
            <w:pPr>
              <w:pStyle w:val="rowdate"/>
            </w:pPr>
          </w:p>
          <w:p w14:paraId="370ED72B" w14:textId="77777777" w:rsidR="00C56C70" w:rsidRDefault="00C56C70" w:rsidP="004448A4">
            <w:pPr>
              <w:pStyle w:val="Row"/>
            </w:pPr>
          </w:p>
        </w:tc>
      </w:tr>
      <w:tr w:rsidR="00C56C70" w14:paraId="707350E8" w14:textId="77777777" w:rsidTr="004448A4">
        <w:tc>
          <w:tcPr>
            <w:tcW w:w="1527" w:type="dxa"/>
          </w:tcPr>
          <w:p w14:paraId="6332163E" w14:textId="77777777" w:rsidR="00C56C70" w:rsidRDefault="00C56C70" w:rsidP="004448A4">
            <w:pPr>
              <w:pStyle w:val="Row"/>
            </w:pPr>
            <w:r>
              <w:t>Week 4</w:t>
            </w:r>
          </w:p>
          <w:p w14:paraId="138C2117" w14:textId="77777777" w:rsidR="00C56C70" w:rsidRDefault="00C56C70" w:rsidP="004448A4">
            <w:pPr>
              <w:pStyle w:val="Row"/>
            </w:pPr>
          </w:p>
          <w:p w14:paraId="01DE3DA9" w14:textId="77777777" w:rsidR="00C56C70" w:rsidRDefault="00C56C70" w:rsidP="004448A4">
            <w:pPr>
              <w:pStyle w:val="Row"/>
            </w:pPr>
            <w:r>
              <w:lastRenderedPageBreak/>
              <w:t>Gendered  and Raced Bodies</w:t>
            </w:r>
          </w:p>
        </w:tc>
        <w:tc>
          <w:tcPr>
            <w:tcW w:w="3960" w:type="dxa"/>
          </w:tcPr>
          <w:p w14:paraId="45F028C1" w14:textId="77777777" w:rsidR="00C56C70" w:rsidRDefault="00C56C70" w:rsidP="004448A4">
            <w:pPr>
              <w:pStyle w:val="rowdate"/>
            </w:pPr>
            <w:r>
              <w:lastRenderedPageBreak/>
              <w:t>April 21</w:t>
            </w:r>
          </w:p>
          <w:p w14:paraId="29583BF9" w14:textId="77777777" w:rsidR="00C56C70" w:rsidRDefault="00C56C70" w:rsidP="004448A4">
            <w:pPr>
              <w:pStyle w:val="Row"/>
            </w:pPr>
            <w:r>
              <w:lastRenderedPageBreak/>
              <w:t xml:space="preserve">Lecture: </w:t>
            </w:r>
          </w:p>
          <w:p w14:paraId="3901915B" w14:textId="77777777" w:rsidR="00C56C70" w:rsidRDefault="00C56C70" w:rsidP="004448A4">
            <w:pPr>
              <w:pStyle w:val="Row"/>
            </w:pPr>
          </w:p>
          <w:p w14:paraId="0C3217FE" w14:textId="77777777" w:rsidR="00C56C70" w:rsidRDefault="00C56C70" w:rsidP="004448A4">
            <w:pPr>
              <w:pStyle w:val="Row"/>
            </w:pPr>
            <w:r w:rsidRPr="005B5E29">
              <w:t xml:space="preserve">Schiebinger, Londa. 2022. “Theories of Gender and Race.” In </w:t>
            </w:r>
            <w:r w:rsidRPr="005B5E29">
              <w:rPr>
                <w:i/>
                <w:iCs/>
              </w:rPr>
              <w:t>Feminist Theory and the Body</w:t>
            </w:r>
            <w:r w:rsidRPr="005B5E29">
              <w:t xml:space="preserve">. Edinburgh University Press. </w:t>
            </w:r>
            <w:hyperlink r:id="rId23" w:history="1">
              <w:r w:rsidRPr="005B5E29">
                <w:rPr>
                  <w:rStyle w:val="Hyperlink"/>
                </w:rPr>
                <w:t>https://doi.org/10.1515/9781474471770-004</w:t>
              </w:r>
            </w:hyperlink>
            <w:r w:rsidRPr="005B5E29">
              <w:t>.</w:t>
            </w:r>
          </w:p>
          <w:p w14:paraId="78CF2D22" w14:textId="77777777" w:rsidR="00C56C70" w:rsidRDefault="00C56C70" w:rsidP="004448A4">
            <w:pPr>
              <w:pStyle w:val="Row"/>
            </w:pPr>
          </w:p>
          <w:p w14:paraId="3F036497" w14:textId="77777777" w:rsidR="00C56C70" w:rsidRDefault="00C56C70" w:rsidP="004448A4">
            <w:pPr>
              <w:pStyle w:val="Row"/>
            </w:pPr>
            <w:r w:rsidRPr="000D0FAD">
              <w:t xml:space="preserve">Martin, Emily. 2022. “The Egg and the Sperm: How Science Has Constructed a Romance Based on Stereotypical Male-Female Roles.” In </w:t>
            </w:r>
            <w:r w:rsidRPr="000D0FAD">
              <w:rPr>
                <w:i/>
                <w:iCs/>
              </w:rPr>
              <w:t>Feminist Theory and the Body</w:t>
            </w:r>
            <w:r w:rsidRPr="000D0FAD">
              <w:t xml:space="preserve">. Edinburgh University Press. </w:t>
            </w:r>
            <w:hyperlink r:id="rId24" w:history="1">
              <w:r w:rsidRPr="000D0FAD">
                <w:rPr>
                  <w:rStyle w:val="Hyperlink"/>
                </w:rPr>
                <w:t>https://doi.org/10.1515/9781474471770-023</w:t>
              </w:r>
            </w:hyperlink>
          </w:p>
          <w:p w14:paraId="0036DCC9" w14:textId="77777777" w:rsidR="00C56C70" w:rsidRPr="000D0FAD" w:rsidRDefault="00C56C70" w:rsidP="004448A4">
            <w:pPr>
              <w:pStyle w:val="Row"/>
            </w:pPr>
          </w:p>
          <w:p w14:paraId="53C0BC06" w14:textId="77777777" w:rsidR="00C56C70" w:rsidRPr="005B5E29" w:rsidRDefault="00C56C70" w:rsidP="004448A4">
            <w:pPr>
              <w:pStyle w:val="Row"/>
            </w:pPr>
          </w:p>
          <w:p w14:paraId="23FA0414" w14:textId="77777777" w:rsidR="00C56C70" w:rsidRDefault="00C56C70" w:rsidP="004448A4">
            <w:pPr>
              <w:pStyle w:val="Row"/>
            </w:pPr>
          </w:p>
        </w:tc>
        <w:tc>
          <w:tcPr>
            <w:tcW w:w="3960" w:type="dxa"/>
          </w:tcPr>
          <w:p w14:paraId="497B4995" w14:textId="77777777" w:rsidR="00C56C70" w:rsidRDefault="00C56C70" w:rsidP="004448A4">
            <w:pPr>
              <w:pStyle w:val="rowdate"/>
            </w:pPr>
            <w:r>
              <w:lastRenderedPageBreak/>
              <w:t>April 23</w:t>
            </w:r>
          </w:p>
          <w:p w14:paraId="19C2BC90" w14:textId="77777777" w:rsidR="00C56C70" w:rsidRDefault="00C56C70" w:rsidP="004448A4">
            <w:pPr>
              <w:pStyle w:val="Row"/>
            </w:pPr>
            <w:r>
              <w:lastRenderedPageBreak/>
              <w:t>Discussion:</w:t>
            </w:r>
          </w:p>
          <w:p w14:paraId="5EC89536" w14:textId="77777777" w:rsidR="00C56C70" w:rsidRDefault="00C56C70" w:rsidP="004448A4">
            <w:pPr>
              <w:pStyle w:val="Row"/>
            </w:pPr>
          </w:p>
          <w:p w14:paraId="50111B99" w14:textId="77777777" w:rsidR="00C56C70" w:rsidRDefault="00C56C70" w:rsidP="004448A4">
            <w:pPr>
              <w:pStyle w:val="Row"/>
            </w:pPr>
            <w:r w:rsidRPr="009D4B89">
              <w:t xml:space="preserve">Hammonds, Evelynn M. 1999. “Toward A Genealogy of Black Female Sexuality: The Problematic of Silence.” In </w:t>
            </w:r>
            <w:r w:rsidRPr="009D4B89">
              <w:rPr>
                <w:i/>
                <w:iCs/>
              </w:rPr>
              <w:t>Feminist Theory and the Body</w:t>
            </w:r>
            <w:r w:rsidRPr="009D4B89">
              <w:t xml:space="preserve">, 1st ed., edited by Margrit Shildrick and Janet Price. Routledge. </w:t>
            </w:r>
            <w:hyperlink r:id="rId25" w:history="1">
              <w:r w:rsidRPr="009D4B89">
                <w:rPr>
                  <w:rStyle w:val="Hyperlink"/>
                </w:rPr>
                <w:t>https://doi.org/10.4324/9781315094106-11</w:t>
              </w:r>
            </w:hyperlink>
          </w:p>
          <w:p w14:paraId="3B5C9466" w14:textId="77777777" w:rsidR="00C56C70" w:rsidRDefault="00C56C70" w:rsidP="004448A4">
            <w:pPr>
              <w:pStyle w:val="Row"/>
            </w:pPr>
          </w:p>
          <w:p w14:paraId="69B5E265" w14:textId="77777777" w:rsidR="00C56C70" w:rsidRDefault="00C56C70" w:rsidP="004448A4">
            <w:pPr>
              <w:pStyle w:val="Row"/>
            </w:pPr>
            <w:r w:rsidRPr="00943E49">
              <w:t xml:space="preserve">Simmonds, Felly Nkweto. 2022. “My Body, Myself: How Does a Black Woman Do Sociology?” In </w:t>
            </w:r>
            <w:r w:rsidRPr="00943E49">
              <w:rPr>
                <w:i/>
                <w:iCs/>
              </w:rPr>
              <w:t>Feminist Theory and the Body</w:t>
            </w:r>
            <w:r w:rsidRPr="00943E49">
              <w:t>. Edinburgh University Press. https://doi.org/10.1515/9781474471770-007</w:t>
            </w:r>
          </w:p>
          <w:p w14:paraId="01BB38A0" w14:textId="77777777" w:rsidR="00C56C70" w:rsidRDefault="00C56C70" w:rsidP="004448A4">
            <w:pPr>
              <w:pStyle w:val="Row"/>
            </w:pPr>
          </w:p>
          <w:p w14:paraId="0678163D" w14:textId="77777777" w:rsidR="00C56C70" w:rsidRPr="00DE2149" w:rsidRDefault="00C56C70" w:rsidP="004448A4">
            <w:pPr>
              <w:pStyle w:val="Row"/>
            </w:pPr>
            <w:r>
              <w:t xml:space="preserve">(Optional) </w:t>
            </w:r>
            <w:r w:rsidRPr="00DE2149">
              <w:t xml:space="preserve">FAUSTO-STERLING, Anne. 2008. “The Bare Bones of Race: Race, Genomics, and Biomedicine.” </w:t>
            </w:r>
            <w:r w:rsidRPr="00DE2149">
              <w:rPr>
                <w:i/>
                <w:iCs/>
              </w:rPr>
              <w:t>Social Studies of Science</w:t>
            </w:r>
            <w:r w:rsidRPr="00DE2149">
              <w:t xml:space="preserve"> (Thousand Oaks, CA) 38 (5): 657–94.</w:t>
            </w:r>
          </w:p>
          <w:p w14:paraId="47F9D9E9" w14:textId="77777777" w:rsidR="00C56C70" w:rsidRDefault="00C56C70" w:rsidP="004448A4">
            <w:pPr>
              <w:pStyle w:val="Row"/>
            </w:pPr>
          </w:p>
          <w:p w14:paraId="57298F82" w14:textId="77777777" w:rsidR="00C56C70" w:rsidRDefault="00C56C70" w:rsidP="004448A4">
            <w:pPr>
              <w:pStyle w:val="Row"/>
            </w:pPr>
          </w:p>
        </w:tc>
      </w:tr>
      <w:tr w:rsidR="00C56C70" w14:paraId="319AF736" w14:textId="77777777" w:rsidTr="004448A4">
        <w:tc>
          <w:tcPr>
            <w:tcW w:w="1527" w:type="dxa"/>
          </w:tcPr>
          <w:p w14:paraId="12F3B697" w14:textId="77777777" w:rsidR="00C56C70" w:rsidRDefault="00C56C70" w:rsidP="004448A4">
            <w:pPr>
              <w:pStyle w:val="Row"/>
            </w:pPr>
            <w:r>
              <w:lastRenderedPageBreak/>
              <w:t>Week 5</w:t>
            </w:r>
          </w:p>
          <w:p w14:paraId="2AB07E52" w14:textId="77777777" w:rsidR="00C56C70" w:rsidRDefault="00C56C70" w:rsidP="004448A4">
            <w:pPr>
              <w:pStyle w:val="Row"/>
            </w:pPr>
          </w:p>
          <w:p w14:paraId="4FEAE3DC" w14:textId="77777777" w:rsidR="00C56C70" w:rsidRDefault="00C56C70" w:rsidP="004448A4">
            <w:pPr>
              <w:pStyle w:val="Row"/>
            </w:pPr>
            <w:r>
              <w:t>Bodies In Motion (Dance, Sport)</w:t>
            </w:r>
          </w:p>
          <w:p w14:paraId="0134411F" w14:textId="77777777" w:rsidR="00C56C70" w:rsidRDefault="00C56C70" w:rsidP="004448A4">
            <w:pPr>
              <w:pStyle w:val="Row"/>
            </w:pPr>
          </w:p>
        </w:tc>
        <w:tc>
          <w:tcPr>
            <w:tcW w:w="3960" w:type="dxa"/>
          </w:tcPr>
          <w:p w14:paraId="4CB2FFB4" w14:textId="77777777" w:rsidR="00C56C70" w:rsidRDefault="00C56C70" w:rsidP="004448A4">
            <w:pPr>
              <w:pStyle w:val="rowdate"/>
            </w:pPr>
            <w:r>
              <w:t>April 28</w:t>
            </w:r>
          </w:p>
          <w:p w14:paraId="0A087423" w14:textId="77777777" w:rsidR="00C56C70" w:rsidRDefault="00C56C70" w:rsidP="004448A4">
            <w:pPr>
              <w:pStyle w:val="Row"/>
            </w:pPr>
            <w:r>
              <w:t>Lecture:</w:t>
            </w:r>
          </w:p>
          <w:p w14:paraId="015C1632" w14:textId="77777777" w:rsidR="00C56C70" w:rsidRDefault="00C56C70" w:rsidP="004448A4">
            <w:pPr>
              <w:pStyle w:val="Row"/>
            </w:pPr>
          </w:p>
          <w:p w14:paraId="44CC2779" w14:textId="77777777" w:rsidR="00C56C70" w:rsidRPr="00EE75E0" w:rsidRDefault="00C56C70" w:rsidP="004448A4">
            <w:pPr>
              <w:pStyle w:val="Row"/>
            </w:pPr>
            <w:r w:rsidRPr="00EE75E0">
              <w:t xml:space="preserve">Young, Iris Marion. 2005. “Throwing Like a Girl.” In </w:t>
            </w:r>
            <w:r w:rsidRPr="00EE75E0">
              <w:rPr>
                <w:i/>
                <w:iCs/>
              </w:rPr>
              <w:t>On Female Body Experience</w:t>
            </w:r>
            <w:r w:rsidRPr="00EE75E0">
              <w:t xml:space="preserve">. Oxford University Press. </w:t>
            </w:r>
            <w:hyperlink r:id="rId26" w:history="1">
              <w:r w:rsidRPr="00FA1FBA">
                <w:rPr>
                  <w:rStyle w:val="Hyperlink"/>
                </w:rPr>
                <w:t>https://doi.org/10.1093/0195161920.003.0003</w:t>
              </w:r>
            </w:hyperlink>
            <w:r>
              <w:t xml:space="preserve"> </w:t>
            </w:r>
          </w:p>
          <w:p w14:paraId="67132658" w14:textId="77777777" w:rsidR="00C56C70" w:rsidRDefault="00C56C70" w:rsidP="004448A4">
            <w:pPr>
              <w:pStyle w:val="Row"/>
            </w:pPr>
          </w:p>
          <w:p w14:paraId="64B2FE05" w14:textId="77777777" w:rsidR="00C56C70" w:rsidRPr="00385E5F" w:rsidRDefault="00C56C70" w:rsidP="004448A4">
            <w:pPr>
              <w:pStyle w:val="Row"/>
            </w:pPr>
            <w:r w:rsidRPr="00385E5F">
              <w:t xml:space="preserve">Fausto-Sterling, Anne. 2025. “Throwing like a Girl: A Critique of Past Approaches and an Illustrated Proposal for a Path Forward.” </w:t>
            </w:r>
            <w:r w:rsidRPr="00385E5F">
              <w:rPr>
                <w:i/>
                <w:iCs/>
              </w:rPr>
              <w:t>Biology of Sex Differences</w:t>
            </w:r>
            <w:r w:rsidRPr="00385E5F">
              <w:t xml:space="preserve"> (London) 16 (1): 77. </w:t>
            </w:r>
            <w:hyperlink r:id="rId27" w:history="1">
              <w:r w:rsidRPr="00385E5F">
                <w:rPr>
                  <w:rStyle w:val="Hyperlink"/>
                </w:rPr>
                <w:t>https://doi.org/10.1186/s13293-025-00759-8</w:t>
              </w:r>
            </w:hyperlink>
            <w:r>
              <w:t xml:space="preserve"> </w:t>
            </w:r>
          </w:p>
          <w:p w14:paraId="41C7EFEA" w14:textId="77777777" w:rsidR="00C56C70" w:rsidRDefault="00C56C70" w:rsidP="004448A4">
            <w:pPr>
              <w:pStyle w:val="Row"/>
            </w:pPr>
          </w:p>
        </w:tc>
        <w:tc>
          <w:tcPr>
            <w:tcW w:w="3960" w:type="dxa"/>
          </w:tcPr>
          <w:p w14:paraId="2E4BC5A4" w14:textId="77777777" w:rsidR="00C56C70" w:rsidRDefault="00C56C70" w:rsidP="004448A4">
            <w:pPr>
              <w:pStyle w:val="rowdate"/>
            </w:pPr>
            <w:r>
              <w:t>April 30</w:t>
            </w:r>
          </w:p>
          <w:p w14:paraId="2BE9F20E" w14:textId="77777777" w:rsidR="00C56C70" w:rsidRDefault="00C56C70" w:rsidP="004448A4">
            <w:pPr>
              <w:pStyle w:val="Row"/>
            </w:pPr>
            <w:r>
              <w:t>Discussion:</w:t>
            </w:r>
          </w:p>
          <w:p w14:paraId="48F7D5E2" w14:textId="77777777" w:rsidR="00C56C70" w:rsidRDefault="00C56C70" w:rsidP="004448A4">
            <w:pPr>
              <w:pStyle w:val="Row"/>
            </w:pPr>
          </w:p>
          <w:p w14:paraId="66D50DED" w14:textId="77777777" w:rsidR="00C56C70" w:rsidRDefault="00C56C70" w:rsidP="004448A4">
            <w:pPr>
              <w:pStyle w:val="Row"/>
            </w:pPr>
            <w:r w:rsidRPr="00366C9C">
              <w:t xml:space="preserve">Green, Jill. 2001. “Socially Constructed Bodies in American Dance Classrooms.” </w:t>
            </w:r>
            <w:r w:rsidRPr="00366C9C">
              <w:rPr>
                <w:i/>
                <w:iCs/>
              </w:rPr>
              <w:t>Research in Dance Education</w:t>
            </w:r>
            <w:r w:rsidRPr="00366C9C">
              <w:t xml:space="preserve"> 2 (2): 155–73. </w:t>
            </w:r>
            <w:hyperlink r:id="rId28" w:history="1">
              <w:r w:rsidRPr="00366C9C">
                <w:rPr>
                  <w:rStyle w:val="Hyperlink"/>
                </w:rPr>
                <w:t>https://doi.org/10.1080/14647890120100782</w:t>
              </w:r>
            </w:hyperlink>
          </w:p>
          <w:p w14:paraId="16841A3D" w14:textId="77777777" w:rsidR="00C56C70" w:rsidRDefault="00C56C70" w:rsidP="004448A4">
            <w:pPr>
              <w:pStyle w:val="Row"/>
            </w:pPr>
          </w:p>
          <w:p w14:paraId="64EF412B" w14:textId="77777777" w:rsidR="00C56C70" w:rsidRDefault="00C56C70" w:rsidP="004448A4">
            <w:pPr>
              <w:pStyle w:val="Row"/>
            </w:pPr>
            <w:r w:rsidRPr="00741485">
              <w:t xml:space="preserve">Wesely, Jennifer K. 2003. “Exotic Dancing and the Negotiation of Identity: The Multiple Uses of Body Technologies.” </w:t>
            </w:r>
            <w:r w:rsidRPr="00741485">
              <w:rPr>
                <w:i/>
                <w:iCs/>
              </w:rPr>
              <w:t>Journal of Contemporary Ethnography</w:t>
            </w:r>
            <w:r w:rsidRPr="00741485">
              <w:t xml:space="preserve"> (Thousand Oaks, CA) 32 (6): 643–69. </w:t>
            </w:r>
            <w:hyperlink r:id="rId29" w:history="1">
              <w:r w:rsidRPr="00741485">
                <w:rPr>
                  <w:rStyle w:val="Hyperlink"/>
                </w:rPr>
                <w:t>https://doi.org/10.1177/0891241603257595</w:t>
              </w:r>
            </w:hyperlink>
          </w:p>
          <w:p w14:paraId="49A3F280" w14:textId="77777777" w:rsidR="00C56C70" w:rsidRDefault="00C56C70" w:rsidP="004448A4">
            <w:pPr>
              <w:pStyle w:val="Row"/>
            </w:pPr>
          </w:p>
        </w:tc>
      </w:tr>
      <w:tr w:rsidR="00C56C70" w14:paraId="1041F930" w14:textId="77777777" w:rsidTr="004448A4">
        <w:tc>
          <w:tcPr>
            <w:tcW w:w="1527" w:type="dxa"/>
          </w:tcPr>
          <w:p w14:paraId="210A9CE0" w14:textId="77777777" w:rsidR="00C56C70" w:rsidRDefault="00C56C70" w:rsidP="004448A4">
            <w:pPr>
              <w:pStyle w:val="Row"/>
            </w:pPr>
            <w:r>
              <w:t>Week 6</w:t>
            </w:r>
          </w:p>
          <w:p w14:paraId="2F30F114" w14:textId="77777777" w:rsidR="00C56C70" w:rsidRDefault="00C56C70" w:rsidP="004448A4">
            <w:pPr>
              <w:pStyle w:val="Row"/>
            </w:pPr>
            <w:r>
              <w:t xml:space="preserve">Laboring Bodies </w:t>
            </w:r>
            <w:r>
              <w:lastRenderedPageBreak/>
              <w:t>(Including pregnancy)</w:t>
            </w:r>
          </w:p>
          <w:p w14:paraId="039D4C7C" w14:textId="77777777" w:rsidR="00C56C70" w:rsidRPr="00E103C5" w:rsidRDefault="00C56C70" w:rsidP="004448A4">
            <w:pPr>
              <w:pStyle w:val="Row"/>
            </w:pPr>
          </w:p>
        </w:tc>
        <w:tc>
          <w:tcPr>
            <w:tcW w:w="3960" w:type="dxa"/>
          </w:tcPr>
          <w:p w14:paraId="448BD7B6" w14:textId="77777777" w:rsidR="00C56C70" w:rsidRDefault="00C56C70" w:rsidP="004448A4">
            <w:pPr>
              <w:pStyle w:val="rowdate"/>
            </w:pPr>
            <w:r>
              <w:lastRenderedPageBreak/>
              <w:t>May 5</w:t>
            </w:r>
          </w:p>
          <w:p w14:paraId="43DF3077" w14:textId="77777777" w:rsidR="00C56C70" w:rsidRDefault="00C56C70" w:rsidP="004448A4">
            <w:pPr>
              <w:pStyle w:val="Row"/>
            </w:pPr>
            <w:r>
              <w:t>Lecture:  Body Commodification and Body Work</w:t>
            </w:r>
          </w:p>
          <w:p w14:paraId="64532CC8" w14:textId="77777777" w:rsidR="00C56C70" w:rsidRDefault="00C56C70" w:rsidP="004448A4">
            <w:pPr>
              <w:pStyle w:val="Row"/>
            </w:pPr>
          </w:p>
          <w:p w14:paraId="65E9CF8B" w14:textId="77777777" w:rsidR="00C56C70" w:rsidRPr="00AC2F6D" w:rsidRDefault="00C56C70" w:rsidP="004448A4">
            <w:pPr>
              <w:pStyle w:val="Row"/>
            </w:pPr>
            <w:r w:rsidRPr="00AC2F6D">
              <w:t xml:space="preserve">Sharp, Lesley A. 2000. “THE COMMODIFICATION OF THE BODY AND ITS PARTS.” </w:t>
            </w:r>
            <w:r w:rsidRPr="00AC2F6D">
              <w:rPr>
                <w:i/>
                <w:iCs/>
              </w:rPr>
              <w:t>Annual Review of Anthropology</w:t>
            </w:r>
            <w:r w:rsidRPr="00AC2F6D">
              <w:t xml:space="preserve"> (Palo Alto, CA 94303-0139) 29 (1): 287–328. https://doi.org/10.1146/annurev.anthro.29.1.287.</w:t>
            </w:r>
          </w:p>
          <w:p w14:paraId="55CBEDFF" w14:textId="77777777" w:rsidR="00C56C70" w:rsidRDefault="00C56C70" w:rsidP="004448A4">
            <w:pPr>
              <w:pStyle w:val="Row"/>
            </w:pPr>
          </w:p>
          <w:p w14:paraId="0B763C10" w14:textId="77777777" w:rsidR="00C56C70" w:rsidRPr="00A53D82" w:rsidRDefault="00C56C70" w:rsidP="004448A4">
            <w:pPr>
              <w:pStyle w:val="Row"/>
            </w:pPr>
            <w:r w:rsidRPr="00A53D82">
              <w:t xml:space="preserve">Stoeckle, Anabel. 2018. “Rethinking Reproductive Labor through Surrogates’ Invisible Bodily Care Work.” </w:t>
            </w:r>
            <w:r w:rsidRPr="00A53D82">
              <w:rPr>
                <w:i/>
                <w:iCs/>
              </w:rPr>
              <w:t>Critical Sociology</w:t>
            </w:r>
            <w:r w:rsidRPr="00A53D82">
              <w:t xml:space="preserve"> (London, England) 44 (7–8): 1103–16. </w:t>
            </w:r>
            <w:hyperlink r:id="rId30" w:history="1">
              <w:r w:rsidRPr="00FA1FBA">
                <w:rPr>
                  <w:rStyle w:val="Hyperlink"/>
                </w:rPr>
                <w:t>https://doi.org/10.1177/0896920518766651</w:t>
              </w:r>
            </w:hyperlink>
            <w:r>
              <w:t xml:space="preserve"> </w:t>
            </w:r>
          </w:p>
          <w:p w14:paraId="51EADEEB" w14:textId="77777777" w:rsidR="00C56C70" w:rsidRDefault="00C56C70" w:rsidP="004448A4">
            <w:pPr>
              <w:pStyle w:val="Row"/>
            </w:pPr>
          </w:p>
          <w:p w14:paraId="3A76C48C" w14:textId="77777777" w:rsidR="00C56C70" w:rsidRPr="00253009" w:rsidRDefault="00C56C70" w:rsidP="004448A4">
            <w:pPr>
              <w:pStyle w:val="Row"/>
            </w:pPr>
            <w:r>
              <w:t xml:space="preserve">(Optional) </w:t>
            </w:r>
            <w:r w:rsidRPr="00253009">
              <w:t xml:space="preserve">Leve, Michelle. 2013. “Reproductive Bodies and Bits: Exploring Dilemmas of Egg Donation Under Neoliberalism.” </w:t>
            </w:r>
            <w:r w:rsidRPr="00253009">
              <w:rPr>
                <w:i/>
                <w:iCs/>
              </w:rPr>
              <w:t>Studies in Gender and Sexuality</w:t>
            </w:r>
            <w:r w:rsidRPr="00253009">
              <w:t xml:space="preserve"> (Abingdon) 14 (4): 277–88. https://doi.org/10.1080/15240657.2013.848319.</w:t>
            </w:r>
          </w:p>
          <w:p w14:paraId="795F0D44" w14:textId="77777777" w:rsidR="00C56C70" w:rsidRDefault="00C56C70" w:rsidP="004448A4">
            <w:pPr>
              <w:pStyle w:val="Row"/>
            </w:pPr>
          </w:p>
          <w:p w14:paraId="4E8CE4CF" w14:textId="77777777" w:rsidR="00C56C70" w:rsidRDefault="00C56C70" w:rsidP="004448A4">
            <w:pPr>
              <w:pStyle w:val="Row"/>
            </w:pPr>
            <w:r>
              <w:t xml:space="preserve">(Optional) EReserves -- </w:t>
            </w:r>
            <w:r w:rsidRPr="001E5313">
              <w:t>Patricia Hill Collins -- The phenomenology of death, embodiment, and organ transplantation</w:t>
            </w:r>
          </w:p>
          <w:p w14:paraId="0E32C3D3" w14:textId="77777777" w:rsidR="00C56C70" w:rsidRPr="00C1151A" w:rsidRDefault="00C56C70" w:rsidP="004448A4">
            <w:pPr>
              <w:pStyle w:val="Row"/>
            </w:pPr>
          </w:p>
        </w:tc>
        <w:tc>
          <w:tcPr>
            <w:tcW w:w="3960" w:type="dxa"/>
          </w:tcPr>
          <w:p w14:paraId="4C8F3B56" w14:textId="77777777" w:rsidR="00C56C70" w:rsidRDefault="00C56C70" w:rsidP="004448A4">
            <w:pPr>
              <w:pStyle w:val="rowdate"/>
            </w:pPr>
            <w:r>
              <w:lastRenderedPageBreak/>
              <w:t>May 7</w:t>
            </w:r>
          </w:p>
          <w:p w14:paraId="2DE4293C" w14:textId="77777777" w:rsidR="00C56C70" w:rsidRDefault="00C56C70" w:rsidP="004448A4">
            <w:pPr>
              <w:pStyle w:val="Row"/>
            </w:pPr>
            <w:r>
              <w:t>Discussion Today, bring your questions.</w:t>
            </w:r>
          </w:p>
          <w:p w14:paraId="250EB838" w14:textId="77777777" w:rsidR="00C56C70" w:rsidRDefault="00C56C70" w:rsidP="004448A4">
            <w:pPr>
              <w:pStyle w:val="Row"/>
            </w:pPr>
          </w:p>
          <w:p w14:paraId="40BDF284" w14:textId="77777777" w:rsidR="00C56C70" w:rsidRPr="00390EB8" w:rsidRDefault="00C56C70" w:rsidP="004448A4">
            <w:pPr>
              <w:pStyle w:val="Row"/>
            </w:pPr>
            <w:r w:rsidRPr="00D23A80">
              <w:lastRenderedPageBreak/>
              <w:t xml:space="preserve">Gimlin, Debra. 2007. “What Is ‘Body Work’? A Review of the Literature.” </w:t>
            </w:r>
            <w:r w:rsidRPr="00D23A80">
              <w:rPr>
                <w:i/>
                <w:iCs/>
              </w:rPr>
              <w:t>Sociology Compass</w:t>
            </w:r>
            <w:r w:rsidRPr="00D23A80">
              <w:t xml:space="preserve"> (Oxford, UK) 1 (1): 353–70. https://doi.org/10.1111/j.1751-9020.2007.00015.x.</w:t>
            </w:r>
          </w:p>
          <w:p w14:paraId="520D984E" w14:textId="77777777" w:rsidR="00C56C70" w:rsidRDefault="00C56C70" w:rsidP="004448A4">
            <w:pPr>
              <w:pStyle w:val="Row"/>
            </w:pPr>
          </w:p>
          <w:p w14:paraId="6E98C6D1" w14:textId="77777777" w:rsidR="00C56C70" w:rsidRPr="00251E23" w:rsidRDefault="00C56C70" w:rsidP="004448A4">
            <w:pPr>
              <w:pStyle w:val="Row"/>
            </w:pPr>
            <w:r w:rsidRPr="00251E23">
              <w:t xml:space="preserve">Lanoix, Monique. 2013. “Labor as Embodied Practice: The Lessons of Care Work.” </w:t>
            </w:r>
            <w:r w:rsidRPr="00251E23">
              <w:rPr>
                <w:i/>
                <w:iCs/>
              </w:rPr>
              <w:t>Hypatia</w:t>
            </w:r>
            <w:r w:rsidRPr="00251E23">
              <w:t xml:space="preserve"> (HOBOKEN) 28 (1): 85–100. https://doi.org/10.1111/hypa.12008.</w:t>
            </w:r>
          </w:p>
          <w:p w14:paraId="76104200" w14:textId="77777777" w:rsidR="00C56C70" w:rsidRDefault="00C56C70" w:rsidP="004448A4">
            <w:pPr>
              <w:pStyle w:val="Row"/>
            </w:pPr>
          </w:p>
          <w:p w14:paraId="68C0E06D" w14:textId="77777777" w:rsidR="00C56C70" w:rsidRDefault="00C56C70" w:rsidP="004448A4">
            <w:pPr>
              <w:pStyle w:val="Row"/>
            </w:pPr>
            <w:r>
              <w:t xml:space="preserve">(Optional) EReserves -- </w:t>
            </w:r>
            <w:r w:rsidRPr="00D10FE5">
              <w:t>"Made by the work": a century of laboring bodies in the United States</w:t>
            </w:r>
            <w:r>
              <w:t xml:space="preserve"> in </w:t>
            </w:r>
            <w:r w:rsidRPr="0083371F">
              <w:t xml:space="preserve">Moore, Lisa Jean, and Marin Kosut, eds. 2010. </w:t>
            </w:r>
            <w:r w:rsidRPr="0083371F">
              <w:rPr>
                <w:i/>
                <w:iCs/>
              </w:rPr>
              <w:t>The Body Reader</w:t>
            </w:r>
            <w:r w:rsidRPr="0083371F">
              <w:rPr>
                <w:rFonts w:ascii="Arial" w:hAnsi="Arial" w:cs="Arial"/>
                <w:i/>
                <w:iCs/>
              </w:rPr>
              <w:t> </w:t>
            </w:r>
            <w:r w:rsidRPr="0083371F">
              <w:rPr>
                <w:i/>
                <w:iCs/>
              </w:rPr>
              <w:t>: Essential Social and Cultural Readings</w:t>
            </w:r>
            <w:r w:rsidRPr="0083371F">
              <w:rPr>
                <w:rFonts w:ascii="Aptos" w:hAnsi="Aptos" w:cs="Aptos"/>
                <w:i/>
                <w:iCs/>
              </w:rPr>
              <w:t> </w:t>
            </w:r>
            <w:r w:rsidRPr="0083371F">
              <w:rPr>
                <w:i/>
                <w:iCs/>
              </w:rPr>
              <w:t xml:space="preserve"> / Edited by Lisa Jean Moore and Mary Kosut.</w:t>
            </w:r>
            <w:r w:rsidRPr="0083371F">
              <w:t xml:space="preserve"> New York University Press.</w:t>
            </w:r>
          </w:p>
          <w:p w14:paraId="4A6E9B20" w14:textId="77777777" w:rsidR="00C56C70" w:rsidRDefault="00C56C70" w:rsidP="004448A4">
            <w:pPr>
              <w:pStyle w:val="Row"/>
            </w:pPr>
          </w:p>
        </w:tc>
      </w:tr>
      <w:tr w:rsidR="00C56C70" w14:paraId="6A1430D4" w14:textId="77777777" w:rsidTr="004448A4">
        <w:tc>
          <w:tcPr>
            <w:tcW w:w="1527" w:type="dxa"/>
          </w:tcPr>
          <w:p w14:paraId="4E0162C1" w14:textId="77777777" w:rsidR="00C56C70" w:rsidRDefault="00C56C70" w:rsidP="004448A4">
            <w:pPr>
              <w:pStyle w:val="Row"/>
            </w:pPr>
            <w:r>
              <w:lastRenderedPageBreak/>
              <w:t>Week 7</w:t>
            </w:r>
          </w:p>
          <w:p w14:paraId="2636686C" w14:textId="77777777" w:rsidR="00C56C70" w:rsidRDefault="00C56C70" w:rsidP="004448A4">
            <w:pPr>
              <w:pStyle w:val="Row"/>
            </w:pPr>
          </w:p>
          <w:p w14:paraId="1050B6B4" w14:textId="77777777" w:rsidR="00C56C70" w:rsidRPr="00E103C5" w:rsidRDefault="00C56C70" w:rsidP="004448A4">
            <w:pPr>
              <w:pStyle w:val="Row"/>
            </w:pPr>
            <w:r>
              <w:t>Disability</w:t>
            </w:r>
          </w:p>
        </w:tc>
        <w:tc>
          <w:tcPr>
            <w:tcW w:w="3960" w:type="dxa"/>
          </w:tcPr>
          <w:p w14:paraId="037DC51A" w14:textId="77777777" w:rsidR="00C56C70" w:rsidRDefault="00C56C70" w:rsidP="004448A4">
            <w:pPr>
              <w:pStyle w:val="rowdate"/>
            </w:pPr>
            <w:r>
              <w:t>May 12</w:t>
            </w:r>
          </w:p>
          <w:p w14:paraId="0AFF2248" w14:textId="77777777" w:rsidR="00C56C70" w:rsidRDefault="00C56C70" w:rsidP="004448A4">
            <w:pPr>
              <w:pStyle w:val="Row"/>
            </w:pPr>
            <w:r>
              <w:t>Lecture:</w:t>
            </w:r>
          </w:p>
          <w:p w14:paraId="78D2E198" w14:textId="77777777" w:rsidR="00C56C70" w:rsidRDefault="00C56C70" w:rsidP="004448A4">
            <w:pPr>
              <w:pStyle w:val="Row"/>
            </w:pPr>
          </w:p>
          <w:p w14:paraId="4D258253" w14:textId="77777777" w:rsidR="00C56C70" w:rsidRDefault="00C56C70" w:rsidP="004448A4">
            <w:r>
              <w:t>Shakespeare, Tom. “The Social Model of Disability” &amp; “On the Government of Disability:</w:t>
            </w:r>
          </w:p>
          <w:p w14:paraId="3305789A" w14:textId="77777777" w:rsidR="00C56C70" w:rsidRDefault="00C56C70" w:rsidP="004448A4">
            <w:r>
              <w:t>Foucault, Power, and the Subject of Impairment” in The Disability Studies Reader.</w:t>
            </w:r>
          </w:p>
          <w:p w14:paraId="73F08C9A" w14:textId="77777777" w:rsidR="00C56C70" w:rsidRDefault="00C56C70" w:rsidP="004448A4"/>
          <w:p w14:paraId="6E4ED5EC" w14:textId="77777777" w:rsidR="00C56C70" w:rsidRPr="0065027F" w:rsidRDefault="00C56C70" w:rsidP="004448A4">
            <w:pPr>
              <w:pStyle w:val="Row"/>
            </w:pPr>
            <w:r w:rsidRPr="0065027F">
              <w:t xml:space="preserve">McRuer, Robert. 2022. “Introduction: Compulsory Able-Bodiedness and Queer/Disabled Existence.” In </w:t>
            </w:r>
            <w:r w:rsidRPr="0065027F">
              <w:rPr>
                <w:i/>
                <w:iCs/>
              </w:rPr>
              <w:t>Crip Theory</w:t>
            </w:r>
            <w:r w:rsidRPr="0065027F">
              <w:t xml:space="preserve">, vol. 9. New York University Press. </w:t>
            </w:r>
            <w:hyperlink r:id="rId31" w:history="1">
              <w:r w:rsidRPr="00FA1FBA">
                <w:rPr>
                  <w:rStyle w:val="Hyperlink"/>
                </w:rPr>
                <w:t>https://doi.org/10.18574/nyu/9780814759868.003.0005</w:t>
              </w:r>
            </w:hyperlink>
            <w:r>
              <w:t xml:space="preserve"> </w:t>
            </w:r>
          </w:p>
          <w:p w14:paraId="6171A0D0" w14:textId="77777777" w:rsidR="00C56C70" w:rsidRDefault="00C56C70" w:rsidP="004448A4"/>
          <w:p w14:paraId="5F3342EC" w14:textId="77777777" w:rsidR="00C56C70" w:rsidRDefault="00C56C70" w:rsidP="004448A4">
            <w:pPr>
              <w:pStyle w:val="Row"/>
            </w:pPr>
          </w:p>
          <w:p w14:paraId="4C9B3F23" w14:textId="77777777" w:rsidR="00C56C70" w:rsidRDefault="00C56C70" w:rsidP="004448A4">
            <w:pPr>
              <w:pStyle w:val="Row"/>
            </w:pPr>
          </w:p>
        </w:tc>
        <w:tc>
          <w:tcPr>
            <w:tcW w:w="3960" w:type="dxa"/>
          </w:tcPr>
          <w:p w14:paraId="7AD1EEAA" w14:textId="77777777" w:rsidR="00C56C70" w:rsidRDefault="00C56C70" w:rsidP="004448A4">
            <w:pPr>
              <w:pStyle w:val="rowdate"/>
            </w:pPr>
            <w:r>
              <w:lastRenderedPageBreak/>
              <w:t>May 14</w:t>
            </w:r>
          </w:p>
          <w:p w14:paraId="62BDDE80" w14:textId="77777777" w:rsidR="00C56C70" w:rsidRDefault="00C56C70" w:rsidP="004448A4">
            <w:pPr>
              <w:pStyle w:val="Row"/>
            </w:pPr>
            <w:r>
              <w:t>Discussion:</w:t>
            </w:r>
          </w:p>
          <w:p w14:paraId="290DC053" w14:textId="77777777" w:rsidR="00C56C70" w:rsidRDefault="00C56C70" w:rsidP="004448A4">
            <w:pPr>
              <w:pStyle w:val="Row"/>
            </w:pPr>
          </w:p>
          <w:p w14:paraId="0F97F23E" w14:textId="77777777" w:rsidR="00C56C70" w:rsidRDefault="00C56C70" w:rsidP="004448A4">
            <w:pPr>
              <w:pStyle w:val="Row"/>
            </w:pPr>
            <w:r w:rsidRPr="0048551D">
              <w:t xml:space="preserve">HUGHES, BILL, and KEVIN PATERSON. 1997. “The Social Model of Disability and the Disappearing Body: Towards a Sociology of Impairment.” </w:t>
            </w:r>
            <w:r w:rsidRPr="0048551D">
              <w:rPr>
                <w:i/>
                <w:iCs/>
              </w:rPr>
              <w:t>Disability &amp; Society</w:t>
            </w:r>
            <w:r w:rsidRPr="0048551D">
              <w:t xml:space="preserve"> (ABINGDON) 12 (3): 325–40. </w:t>
            </w:r>
            <w:hyperlink r:id="rId32" w:history="1">
              <w:r w:rsidRPr="00FA1FBA">
                <w:rPr>
                  <w:rStyle w:val="Hyperlink"/>
                </w:rPr>
                <w:t>https://doi.org/10.1080/09687599727209</w:t>
              </w:r>
            </w:hyperlink>
          </w:p>
          <w:p w14:paraId="5334EFF1" w14:textId="77777777" w:rsidR="00C56C70" w:rsidRPr="0048551D" w:rsidRDefault="00C56C70" w:rsidP="004448A4">
            <w:pPr>
              <w:pStyle w:val="Row"/>
            </w:pPr>
          </w:p>
          <w:p w14:paraId="30E5CBF7" w14:textId="77777777" w:rsidR="00C56C70" w:rsidRDefault="00C56C70" w:rsidP="004448A4">
            <w:pPr>
              <w:pStyle w:val="Row"/>
            </w:pPr>
          </w:p>
          <w:p w14:paraId="7ACE8D48" w14:textId="77777777" w:rsidR="00C56C70" w:rsidRDefault="00C56C70" w:rsidP="004448A4">
            <w:pPr>
              <w:pStyle w:val="Row"/>
            </w:pPr>
            <w:r w:rsidRPr="0026727E">
              <w:t xml:space="preserve">Toombs, S. Kay. 1995. “The Lived Experience of Disability.” </w:t>
            </w:r>
            <w:r w:rsidRPr="0026727E">
              <w:rPr>
                <w:i/>
                <w:iCs/>
              </w:rPr>
              <w:t>Human Studies</w:t>
            </w:r>
            <w:r w:rsidRPr="0026727E">
              <w:t xml:space="preserve"> (DORDRECHT) 18 (1): 9–23. </w:t>
            </w:r>
            <w:hyperlink r:id="rId33" w:history="1">
              <w:r w:rsidRPr="00FA1FBA">
                <w:rPr>
                  <w:rStyle w:val="Hyperlink"/>
                </w:rPr>
                <w:t>https://doi.org/10.1007/BF01322837</w:t>
              </w:r>
            </w:hyperlink>
          </w:p>
          <w:p w14:paraId="610EF917" w14:textId="77777777" w:rsidR="00C56C70" w:rsidRPr="0026727E" w:rsidRDefault="00C56C70" w:rsidP="004448A4">
            <w:pPr>
              <w:pStyle w:val="Row"/>
            </w:pPr>
          </w:p>
          <w:p w14:paraId="1676E3F7" w14:textId="77777777" w:rsidR="00C56C70" w:rsidRDefault="00C56C70" w:rsidP="004448A4">
            <w:pPr>
              <w:pStyle w:val="Row"/>
            </w:pPr>
          </w:p>
        </w:tc>
      </w:tr>
      <w:tr w:rsidR="00C56C70" w14:paraId="238A22D5" w14:textId="77777777" w:rsidTr="004448A4">
        <w:tc>
          <w:tcPr>
            <w:tcW w:w="1527" w:type="dxa"/>
          </w:tcPr>
          <w:p w14:paraId="23A21467" w14:textId="77777777" w:rsidR="00C56C70" w:rsidRDefault="00C56C70" w:rsidP="004448A4">
            <w:pPr>
              <w:pStyle w:val="Row"/>
            </w:pPr>
            <w:r>
              <w:t>Week 8</w:t>
            </w:r>
          </w:p>
          <w:p w14:paraId="1BF56FAA" w14:textId="77777777" w:rsidR="00C56C70" w:rsidRDefault="00C56C70" w:rsidP="004448A4">
            <w:pPr>
              <w:pStyle w:val="Row"/>
            </w:pPr>
          </w:p>
          <w:p w14:paraId="31C981BC" w14:textId="77777777" w:rsidR="00C56C70" w:rsidRDefault="00C56C70" w:rsidP="004448A4">
            <w:pPr>
              <w:pStyle w:val="Row"/>
            </w:pPr>
            <w:r>
              <w:t>Body Projects -- Weight</w:t>
            </w:r>
          </w:p>
        </w:tc>
        <w:tc>
          <w:tcPr>
            <w:tcW w:w="3960" w:type="dxa"/>
          </w:tcPr>
          <w:p w14:paraId="1A82CCE3" w14:textId="77777777" w:rsidR="00C56C70" w:rsidRDefault="00C56C70" w:rsidP="004448A4">
            <w:pPr>
              <w:pStyle w:val="rowdate"/>
            </w:pPr>
            <w:r>
              <w:t>May 19</w:t>
            </w:r>
          </w:p>
          <w:p w14:paraId="26FACDCC" w14:textId="77777777" w:rsidR="00C56C70" w:rsidRDefault="00C56C70" w:rsidP="004448A4">
            <w:pPr>
              <w:pStyle w:val="Row"/>
            </w:pPr>
            <w:r>
              <w:t>Lecture</w:t>
            </w:r>
          </w:p>
          <w:p w14:paraId="7EB5E0D3" w14:textId="77777777" w:rsidR="00C56C70" w:rsidRDefault="00C56C70" w:rsidP="004448A4">
            <w:pPr>
              <w:pStyle w:val="Row"/>
            </w:pPr>
          </w:p>
          <w:p w14:paraId="227EF710" w14:textId="77777777" w:rsidR="00C56C70" w:rsidRDefault="00C56C70" w:rsidP="004448A4">
            <w:pPr>
              <w:pStyle w:val="Row"/>
            </w:pPr>
            <w:r>
              <w:t>TBA</w:t>
            </w:r>
          </w:p>
        </w:tc>
        <w:tc>
          <w:tcPr>
            <w:tcW w:w="3960" w:type="dxa"/>
          </w:tcPr>
          <w:p w14:paraId="7BD8F6C0" w14:textId="77777777" w:rsidR="00C56C70" w:rsidRDefault="00C56C70" w:rsidP="004448A4">
            <w:pPr>
              <w:pStyle w:val="rowdate"/>
            </w:pPr>
            <w:r>
              <w:t>May 21</w:t>
            </w:r>
          </w:p>
          <w:p w14:paraId="4D7F3110" w14:textId="77777777" w:rsidR="00C56C70" w:rsidRDefault="00C56C70" w:rsidP="004448A4">
            <w:pPr>
              <w:pStyle w:val="Row"/>
            </w:pPr>
            <w:r>
              <w:t>Discussion</w:t>
            </w:r>
          </w:p>
        </w:tc>
      </w:tr>
      <w:tr w:rsidR="00C56C70" w14:paraId="7A322D0E" w14:textId="77777777" w:rsidTr="004448A4">
        <w:tc>
          <w:tcPr>
            <w:tcW w:w="1527" w:type="dxa"/>
          </w:tcPr>
          <w:p w14:paraId="05670E10" w14:textId="77777777" w:rsidR="00C56C70" w:rsidRDefault="00C56C70" w:rsidP="004448A4">
            <w:pPr>
              <w:pStyle w:val="Row"/>
            </w:pPr>
            <w:r>
              <w:t>Week 9</w:t>
            </w:r>
          </w:p>
          <w:p w14:paraId="5D9336A1" w14:textId="77777777" w:rsidR="00C56C70" w:rsidRDefault="00C56C70" w:rsidP="004448A4">
            <w:pPr>
              <w:pStyle w:val="Row"/>
            </w:pPr>
            <w:r>
              <w:t>Body Projects -- Modification</w:t>
            </w:r>
          </w:p>
        </w:tc>
        <w:tc>
          <w:tcPr>
            <w:tcW w:w="3960" w:type="dxa"/>
          </w:tcPr>
          <w:p w14:paraId="73A3AEE1" w14:textId="77777777" w:rsidR="00C56C70" w:rsidRDefault="00C56C70" w:rsidP="004448A4">
            <w:pPr>
              <w:pStyle w:val="rowdate"/>
            </w:pPr>
            <w:r>
              <w:t>May 26</w:t>
            </w:r>
          </w:p>
          <w:p w14:paraId="6978D942" w14:textId="77777777" w:rsidR="00C56C70" w:rsidRDefault="00C56C70" w:rsidP="004448A4">
            <w:pPr>
              <w:pStyle w:val="Row"/>
            </w:pPr>
            <w:r>
              <w:t xml:space="preserve">Lecture: </w:t>
            </w:r>
          </w:p>
          <w:p w14:paraId="5C33ABFD" w14:textId="77777777" w:rsidR="00C56C70" w:rsidRDefault="00C56C70" w:rsidP="004448A4">
            <w:pPr>
              <w:pStyle w:val="Row"/>
            </w:pPr>
          </w:p>
          <w:p w14:paraId="455A0225" w14:textId="77777777" w:rsidR="00C56C70" w:rsidRPr="00003348" w:rsidRDefault="00C56C70" w:rsidP="004448A4">
            <w:pPr>
              <w:pStyle w:val="Row"/>
            </w:pPr>
            <w:r w:rsidRPr="00003348">
              <w:t xml:space="preserve">Sousbois, Ozan Félix. 2025. “Incels, Looksmaxxing, and the Surgical Design of the ‘Chad’-Vertised Body.” </w:t>
            </w:r>
            <w:r w:rsidRPr="00003348">
              <w:rPr>
                <w:i/>
                <w:iCs/>
              </w:rPr>
              <w:t>Body &amp; Society</w:t>
            </w:r>
            <w:r w:rsidRPr="00003348">
              <w:t xml:space="preserve"> (London, England) 31 (4): 33–62. </w:t>
            </w:r>
            <w:hyperlink r:id="rId34" w:history="1">
              <w:r w:rsidRPr="00003348">
                <w:rPr>
                  <w:rStyle w:val="Hyperlink"/>
                </w:rPr>
                <w:t>https://doi.org/10.1177/1357034X251363787</w:t>
              </w:r>
            </w:hyperlink>
            <w:r>
              <w:t xml:space="preserve"> </w:t>
            </w:r>
          </w:p>
          <w:p w14:paraId="29111B3C" w14:textId="77777777" w:rsidR="00C56C70" w:rsidRPr="00CA4193" w:rsidRDefault="00C56C70" w:rsidP="004448A4">
            <w:pPr>
              <w:pStyle w:val="Row"/>
            </w:pPr>
          </w:p>
        </w:tc>
        <w:tc>
          <w:tcPr>
            <w:tcW w:w="3960" w:type="dxa"/>
          </w:tcPr>
          <w:p w14:paraId="104EA5D1" w14:textId="77777777" w:rsidR="00C56C70" w:rsidRDefault="00C56C70" w:rsidP="004448A4">
            <w:pPr>
              <w:pStyle w:val="rowdate"/>
            </w:pPr>
            <w:r>
              <w:t>May 28</w:t>
            </w:r>
          </w:p>
          <w:p w14:paraId="343BEE4F" w14:textId="77777777" w:rsidR="00C56C70" w:rsidRDefault="00C56C70" w:rsidP="004448A4">
            <w:pPr>
              <w:pStyle w:val="Row"/>
            </w:pPr>
            <w:r>
              <w:t>Discussion:</w:t>
            </w:r>
          </w:p>
        </w:tc>
      </w:tr>
      <w:tr w:rsidR="00C56C70" w14:paraId="7D7C3A5D" w14:textId="77777777" w:rsidTr="004448A4">
        <w:tc>
          <w:tcPr>
            <w:tcW w:w="1527" w:type="dxa"/>
          </w:tcPr>
          <w:p w14:paraId="71F7628D" w14:textId="77777777" w:rsidR="00C56C70" w:rsidRDefault="00C56C70" w:rsidP="004448A4">
            <w:pPr>
              <w:pStyle w:val="Row"/>
            </w:pPr>
            <w:r>
              <w:t>Week 10</w:t>
            </w:r>
          </w:p>
          <w:p w14:paraId="3A8CADCA" w14:textId="77777777" w:rsidR="00C56C70" w:rsidRDefault="00C56C70" w:rsidP="004448A4">
            <w:pPr>
              <w:pStyle w:val="Row"/>
            </w:pPr>
            <w:r>
              <w:t>Body Technology and Cyborgs</w:t>
            </w:r>
          </w:p>
        </w:tc>
        <w:tc>
          <w:tcPr>
            <w:tcW w:w="3960" w:type="dxa"/>
          </w:tcPr>
          <w:p w14:paraId="41F3EDE2" w14:textId="77777777" w:rsidR="00C56C70" w:rsidRDefault="00C56C70" w:rsidP="004448A4">
            <w:pPr>
              <w:pStyle w:val="rowdate"/>
            </w:pPr>
            <w:r>
              <w:t>June 2</w:t>
            </w:r>
          </w:p>
          <w:p w14:paraId="45F9C63A" w14:textId="77777777" w:rsidR="00C56C70" w:rsidRDefault="00C56C70" w:rsidP="004448A4">
            <w:pPr>
              <w:pStyle w:val="Row"/>
            </w:pPr>
            <w:r>
              <w:t>Lecture:</w:t>
            </w:r>
          </w:p>
          <w:p w14:paraId="1A3671B8" w14:textId="77777777" w:rsidR="00C56C70" w:rsidRDefault="00C56C70" w:rsidP="004448A4">
            <w:pPr>
              <w:pStyle w:val="Row"/>
            </w:pPr>
          </w:p>
          <w:p w14:paraId="35B560BC" w14:textId="77777777" w:rsidR="00C56C70" w:rsidRPr="009F461C" w:rsidRDefault="00C56C70" w:rsidP="004448A4">
            <w:pPr>
              <w:pStyle w:val="Row"/>
            </w:pPr>
            <w:r w:rsidRPr="009F461C">
              <w:t xml:space="preserve">Pitts, Victoria. 2003. “Cyberpunk, Biomedicine, and the High-Tech Body.” In </w:t>
            </w:r>
            <w:r w:rsidRPr="009F461C">
              <w:rPr>
                <w:i/>
                <w:iCs/>
              </w:rPr>
              <w:t>In the Flesh</w:t>
            </w:r>
            <w:r w:rsidRPr="009F461C">
              <w:t>. Palgrave Macmillan. https://doi.org/10.1057/9781403979438_6.</w:t>
            </w:r>
          </w:p>
          <w:p w14:paraId="0A4CCB51" w14:textId="77777777" w:rsidR="00C56C70" w:rsidRDefault="00C56C70" w:rsidP="004448A4">
            <w:pPr>
              <w:pStyle w:val="Row"/>
            </w:pPr>
          </w:p>
        </w:tc>
        <w:tc>
          <w:tcPr>
            <w:tcW w:w="3960" w:type="dxa"/>
          </w:tcPr>
          <w:p w14:paraId="3F208CB0" w14:textId="77777777" w:rsidR="00C56C70" w:rsidRDefault="00C56C70" w:rsidP="004448A4">
            <w:pPr>
              <w:pStyle w:val="rowdate"/>
            </w:pPr>
            <w:r>
              <w:t>June 4</w:t>
            </w:r>
          </w:p>
          <w:p w14:paraId="5EC2007F" w14:textId="77777777" w:rsidR="00C56C70" w:rsidRDefault="00C56C70" w:rsidP="004448A4">
            <w:pPr>
              <w:pStyle w:val="Row"/>
            </w:pPr>
            <w:r>
              <w:t>Discussion:</w:t>
            </w:r>
          </w:p>
          <w:p w14:paraId="5399E9B1" w14:textId="77777777" w:rsidR="00C56C70" w:rsidRDefault="00C56C70" w:rsidP="004448A4">
            <w:pPr>
              <w:pStyle w:val="Row"/>
            </w:pPr>
          </w:p>
          <w:p w14:paraId="52A7182C" w14:textId="77777777" w:rsidR="00C56C70" w:rsidRPr="00A6523A" w:rsidRDefault="00C56C70" w:rsidP="004448A4">
            <w:pPr>
              <w:pStyle w:val="Row"/>
            </w:pPr>
            <w:r w:rsidRPr="00A6523A">
              <w:t xml:space="preserve">Haraway, Donna. 2006. “A Cyborg Manifesto: Science, Technology, and Socialist-Feminism in the Late Twentieth Century.” In </w:t>
            </w:r>
            <w:r w:rsidRPr="00A6523A">
              <w:rPr>
                <w:i/>
                <w:iCs/>
              </w:rPr>
              <w:t>The Transgender Studies Reader</w:t>
            </w:r>
            <w:r w:rsidRPr="00A6523A">
              <w:t>, 1st ed., edited by Stephen Whittle and Susan Stryker. Routledge Taylor &amp; Francis Group. https://doi.org/10.4324/9780203955055-10.</w:t>
            </w:r>
          </w:p>
          <w:p w14:paraId="6F5726E6" w14:textId="77777777" w:rsidR="00C56C70" w:rsidRDefault="00C56C70" w:rsidP="004448A4">
            <w:pPr>
              <w:pStyle w:val="Row"/>
            </w:pPr>
          </w:p>
        </w:tc>
      </w:tr>
    </w:tbl>
    <w:p w14:paraId="021218EB" w14:textId="77777777" w:rsidR="00987733" w:rsidRDefault="00987733" w:rsidP="00A12C2D">
      <w:pPr>
        <w:pStyle w:val="WeekTitle"/>
        <w:jc w:val="left"/>
      </w:pPr>
    </w:p>
    <w:p w14:paraId="630BCD01" w14:textId="77777777" w:rsidR="003D3F0E" w:rsidRPr="003D3F0E" w:rsidRDefault="003D3F0E" w:rsidP="003D3F0E"/>
    <w:sectPr w:rsidR="003D3F0E" w:rsidRPr="003D3F0E" w:rsidSect="007D3AAC">
      <w:headerReference w:type="default" r:id="rId35"/>
      <w:footerReference w:type="default" r:id="rId36"/>
      <w:headerReference w:type="first" r:id="rId37"/>
      <w:pgSz w:w="12240" w:h="15840" w:code="1"/>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D306" w14:textId="77777777" w:rsidR="00595155" w:rsidRDefault="00595155" w:rsidP="00D337E7">
      <w:pPr>
        <w:spacing w:after="0" w:line="240" w:lineRule="auto"/>
      </w:pPr>
      <w:r>
        <w:separator/>
      </w:r>
    </w:p>
  </w:endnote>
  <w:endnote w:type="continuationSeparator" w:id="0">
    <w:p w14:paraId="14B4368B" w14:textId="77777777" w:rsidR="00595155" w:rsidRDefault="00595155"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1A60" w14:textId="77777777" w:rsidR="00EC6214" w:rsidRPr="00EC6214" w:rsidRDefault="004755D8" w:rsidP="00EC6214">
    <w:pPr>
      <w:pStyle w:val="Footer"/>
    </w:pPr>
    <w:r>
      <w:fldChar w:fldCharType="begin"/>
    </w:r>
    <w:r>
      <w:instrText xml:space="preserve"> PAGE  \* MERGEFORMAT </w:instrText>
    </w:r>
    <w:r>
      <w:fldChar w:fldCharType="separate"/>
    </w:r>
    <w:r w:rsidR="008E4FC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9605" w14:textId="77777777" w:rsidR="00595155" w:rsidRDefault="00595155" w:rsidP="00D337E7">
      <w:pPr>
        <w:spacing w:after="0" w:line="240" w:lineRule="auto"/>
      </w:pPr>
      <w:r>
        <w:separator/>
      </w:r>
    </w:p>
  </w:footnote>
  <w:footnote w:type="continuationSeparator" w:id="0">
    <w:p w14:paraId="422541CB" w14:textId="77777777" w:rsidR="00595155" w:rsidRDefault="00595155"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C13" w14:textId="13AB85D3" w:rsidR="007D3AAC" w:rsidRDefault="007D3AAC">
    <w:pPr>
      <w:pStyle w:val="Header"/>
    </w:pPr>
    <w:r>
      <w:rPr>
        <w:noProof/>
      </w:rPr>
      <mc:AlternateContent>
        <mc:Choice Requires="wps">
          <w:drawing>
            <wp:anchor distT="0" distB="0" distL="118745" distR="118745" simplePos="0" relativeHeight="251659264" behindDoc="1" locked="0" layoutInCell="1" allowOverlap="0" wp14:anchorId="3639A620" wp14:editId="5CA6F57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38371" w14:textId="2F495DE4" w:rsidR="007D3AAC" w:rsidRDefault="007D3AAC">
                              <w:pPr>
                                <w:pStyle w:val="Header"/>
                                <w:jc w:val="center"/>
                                <w:rPr>
                                  <w:caps/>
                                  <w:color w:val="FFFFFF" w:themeColor="background1"/>
                                </w:rPr>
                              </w:pPr>
                              <w:r>
                                <w:rPr>
                                  <w:caps/>
                                  <w:color w:val="FFFFFF" w:themeColor="background1"/>
                                </w:rPr>
                                <w:t>SOCI 120T (Spring, 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39A62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276e8b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38371" w14:textId="2F495DE4" w:rsidR="007D3AAC" w:rsidRDefault="007D3AAC">
                        <w:pPr>
                          <w:pStyle w:val="Header"/>
                          <w:jc w:val="center"/>
                          <w:rPr>
                            <w:caps/>
                            <w:color w:val="FFFFFF" w:themeColor="background1"/>
                          </w:rPr>
                        </w:pPr>
                        <w:r>
                          <w:rPr>
                            <w:caps/>
                            <w:color w:val="FFFFFF" w:themeColor="background1"/>
                          </w:rPr>
                          <w:t>SOCI 120T (Spring, 2026)</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15BB" w14:textId="77777777" w:rsidR="007D3AAC" w:rsidRPr="007D3AAC" w:rsidRDefault="007D3AAC" w:rsidP="007D3AAC">
    <w:pPr>
      <w:pStyle w:val="Subtitle1"/>
      <w:rPr>
        <w:sz w:val="36"/>
        <w:szCs w:val="36"/>
      </w:rPr>
    </w:pPr>
    <w:r w:rsidRPr="007D3AAC">
      <w:rPr>
        <w:sz w:val="36"/>
        <w:szCs w:val="36"/>
      </w:rPr>
      <w:t>SOCI 120T (Spring, 2026)</w:t>
    </w:r>
  </w:p>
  <w:p w14:paraId="6378A1D0" w14:textId="77777777" w:rsidR="007D3AAC" w:rsidRPr="004563E2" w:rsidRDefault="007D3AAC" w:rsidP="007D3AAC">
    <w:pPr>
      <w:pStyle w:val="Title"/>
      <w:rPr>
        <w:sz w:val="56"/>
        <w:szCs w:val="56"/>
      </w:rPr>
    </w:pPr>
    <w:r w:rsidRPr="004563E2">
      <w:rPr>
        <w:sz w:val="56"/>
        <w:szCs w:val="56"/>
      </w:rPr>
      <w:t>SOCIOLOGY of the Body</w:t>
    </w:r>
  </w:p>
  <w:p w14:paraId="1C5BBCB3" w14:textId="77777777" w:rsidR="007D3AAC" w:rsidRDefault="007D3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0FC05E58"/>
    <w:multiLevelType w:val="hybridMultilevel"/>
    <w:tmpl w:val="44EC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3E85"/>
    <w:multiLevelType w:val="hybridMultilevel"/>
    <w:tmpl w:val="E84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213B1"/>
    <w:multiLevelType w:val="hybridMultilevel"/>
    <w:tmpl w:val="3CD4DB00"/>
    <w:lvl w:ilvl="0" w:tplc="37B6B0DE">
      <w:start w:val="1"/>
      <w:numFmt w:val="bullet"/>
      <w:lvlText w:val="•"/>
      <w:lvlJc w:val="left"/>
      <w:pPr>
        <w:tabs>
          <w:tab w:val="num" w:pos="720"/>
        </w:tabs>
        <w:ind w:left="720" w:hanging="360"/>
      </w:pPr>
      <w:rPr>
        <w:rFonts w:ascii="Times New Roman" w:hAnsi="Times New Roman" w:hint="default"/>
      </w:rPr>
    </w:lvl>
    <w:lvl w:ilvl="1" w:tplc="DB222780" w:tentative="1">
      <w:start w:val="1"/>
      <w:numFmt w:val="bullet"/>
      <w:lvlText w:val="•"/>
      <w:lvlJc w:val="left"/>
      <w:pPr>
        <w:tabs>
          <w:tab w:val="num" w:pos="1440"/>
        </w:tabs>
        <w:ind w:left="1440" w:hanging="360"/>
      </w:pPr>
      <w:rPr>
        <w:rFonts w:ascii="Times New Roman" w:hAnsi="Times New Roman" w:hint="default"/>
      </w:rPr>
    </w:lvl>
    <w:lvl w:ilvl="2" w:tplc="E63E7C5C" w:tentative="1">
      <w:start w:val="1"/>
      <w:numFmt w:val="bullet"/>
      <w:lvlText w:val="•"/>
      <w:lvlJc w:val="left"/>
      <w:pPr>
        <w:tabs>
          <w:tab w:val="num" w:pos="2160"/>
        </w:tabs>
        <w:ind w:left="2160" w:hanging="360"/>
      </w:pPr>
      <w:rPr>
        <w:rFonts w:ascii="Times New Roman" w:hAnsi="Times New Roman" w:hint="default"/>
      </w:rPr>
    </w:lvl>
    <w:lvl w:ilvl="3" w:tplc="6062257E" w:tentative="1">
      <w:start w:val="1"/>
      <w:numFmt w:val="bullet"/>
      <w:lvlText w:val="•"/>
      <w:lvlJc w:val="left"/>
      <w:pPr>
        <w:tabs>
          <w:tab w:val="num" w:pos="2880"/>
        </w:tabs>
        <w:ind w:left="2880" w:hanging="360"/>
      </w:pPr>
      <w:rPr>
        <w:rFonts w:ascii="Times New Roman" w:hAnsi="Times New Roman" w:hint="default"/>
      </w:rPr>
    </w:lvl>
    <w:lvl w:ilvl="4" w:tplc="BE544DE2" w:tentative="1">
      <w:start w:val="1"/>
      <w:numFmt w:val="bullet"/>
      <w:lvlText w:val="•"/>
      <w:lvlJc w:val="left"/>
      <w:pPr>
        <w:tabs>
          <w:tab w:val="num" w:pos="3600"/>
        </w:tabs>
        <w:ind w:left="3600" w:hanging="360"/>
      </w:pPr>
      <w:rPr>
        <w:rFonts w:ascii="Times New Roman" w:hAnsi="Times New Roman" w:hint="default"/>
      </w:rPr>
    </w:lvl>
    <w:lvl w:ilvl="5" w:tplc="2684FF02" w:tentative="1">
      <w:start w:val="1"/>
      <w:numFmt w:val="bullet"/>
      <w:lvlText w:val="•"/>
      <w:lvlJc w:val="left"/>
      <w:pPr>
        <w:tabs>
          <w:tab w:val="num" w:pos="4320"/>
        </w:tabs>
        <w:ind w:left="4320" w:hanging="360"/>
      </w:pPr>
      <w:rPr>
        <w:rFonts w:ascii="Times New Roman" w:hAnsi="Times New Roman" w:hint="default"/>
      </w:rPr>
    </w:lvl>
    <w:lvl w:ilvl="6" w:tplc="AB72A72A" w:tentative="1">
      <w:start w:val="1"/>
      <w:numFmt w:val="bullet"/>
      <w:lvlText w:val="•"/>
      <w:lvlJc w:val="left"/>
      <w:pPr>
        <w:tabs>
          <w:tab w:val="num" w:pos="5040"/>
        </w:tabs>
        <w:ind w:left="5040" w:hanging="360"/>
      </w:pPr>
      <w:rPr>
        <w:rFonts w:ascii="Times New Roman" w:hAnsi="Times New Roman" w:hint="default"/>
      </w:rPr>
    </w:lvl>
    <w:lvl w:ilvl="7" w:tplc="69CC3FFE" w:tentative="1">
      <w:start w:val="1"/>
      <w:numFmt w:val="bullet"/>
      <w:lvlText w:val="•"/>
      <w:lvlJc w:val="left"/>
      <w:pPr>
        <w:tabs>
          <w:tab w:val="num" w:pos="5760"/>
        </w:tabs>
        <w:ind w:left="5760" w:hanging="360"/>
      </w:pPr>
      <w:rPr>
        <w:rFonts w:ascii="Times New Roman" w:hAnsi="Times New Roman" w:hint="default"/>
      </w:rPr>
    </w:lvl>
    <w:lvl w:ilvl="8" w:tplc="6E4CD5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40129ED"/>
    <w:multiLevelType w:val="hybridMultilevel"/>
    <w:tmpl w:val="6DF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763E5"/>
    <w:multiLevelType w:val="hybridMultilevel"/>
    <w:tmpl w:val="1160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63E24"/>
    <w:multiLevelType w:val="hybridMultilevel"/>
    <w:tmpl w:val="1B54E43A"/>
    <w:lvl w:ilvl="0" w:tplc="04090001">
      <w:start w:val="1"/>
      <w:numFmt w:val="bullet"/>
      <w:lvlText w:val=""/>
      <w:lvlJc w:val="left"/>
      <w:pPr>
        <w:ind w:left="720" w:hanging="360"/>
      </w:pPr>
      <w:rPr>
        <w:rFonts w:ascii="Symbol" w:hAnsi="Symbol" w:hint="default"/>
      </w:rPr>
    </w:lvl>
    <w:lvl w:ilvl="1" w:tplc="41F4A186">
      <w:start w:val="1"/>
      <w:numFmt w:val="bullet"/>
      <w:lvlText w:val="o"/>
      <w:lvlJc w:val="left"/>
      <w:pPr>
        <w:ind w:left="1440" w:hanging="360"/>
      </w:pPr>
      <w:rPr>
        <w:rFonts w:ascii="Courier New" w:hAnsi="Courier New" w:cs="Courier New" w:hint="default"/>
        <w:color w:val="7A8C8E" w:themeColor="accent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83083"/>
    <w:multiLevelType w:val="hybridMultilevel"/>
    <w:tmpl w:val="894CB4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B143EE7"/>
    <w:multiLevelType w:val="hybridMultilevel"/>
    <w:tmpl w:val="EA9E6EA4"/>
    <w:lvl w:ilvl="0" w:tplc="72188CC4">
      <w:start w:val="1"/>
      <w:numFmt w:val="bullet"/>
      <w:pStyle w:val="bullet"/>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C2C4A"/>
    <w:multiLevelType w:val="hybridMultilevel"/>
    <w:tmpl w:val="9AB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620398">
    <w:abstractNumId w:val="9"/>
  </w:num>
  <w:num w:numId="2" w16cid:durableId="204678246">
    <w:abstractNumId w:val="1"/>
  </w:num>
  <w:num w:numId="3" w16cid:durableId="405034599">
    <w:abstractNumId w:val="0"/>
  </w:num>
  <w:num w:numId="4" w16cid:durableId="1726365760">
    <w:abstractNumId w:val="6"/>
  </w:num>
  <w:num w:numId="5" w16cid:durableId="305863573">
    <w:abstractNumId w:val="2"/>
  </w:num>
  <w:num w:numId="6" w16cid:durableId="1669096284">
    <w:abstractNumId w:val="3"/>
  </w:num>
  <w:num w:numId="7" w16cid:durableId="600339319">
    <w:abstractNumId w:val="10"/>
  </w:num>
  <w:num w:numId="8" w16cid:durableId="445657326">
    <w:abstractNumId w:val="8"/>
  </w:num>
  <w:num w:numId="9" w16cid:durableId="220946906">
    <w:abstractNumId w:val="5"/>
  </w:num>
  <w:num w:numId="10" w16cid:durableId="1034768270">
    <w:abstractNumId w:val="4"/>
  </w:num>
  <w:num w:numId="11" w16cid:durableId="221596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2D"/>
    <w:rsid w:val="00000FDF"/>
    <w:rsid w:val="00003348"/>
    <w:rsid w:val="0001504C"/>
    <w:rsid w:val="00042544"/>
    <w:rsid w:val="00042D97"/>
    <w:rsid w:val="00054D77"/>
    <w:rsid w:val="00064BDC"/>
    <w:rsid w:val="000714FA"/>
    <w:rsid w:val="00084C5C"/>
    <w:rsid w:val="000861E2"/>
    <w:rsid w:val="00090987"/>
    <w:rsid w:val="00094B97"/>
    <w:rsid w:val="000965F3"/>
    <w:rsid w:val="00097AEC"/>
    <w:rsid w:val="000A0132"/>
    <w:rsid w:val="000A1D9B"/>
    <w:rsid w:val="000B4CAC"/>
    <w:rsid w:val="000B5220"/>
    <w:rsid w:val="000B61C3"/>
    <w:rsid w:val="000C516F"/>
    <w:rsid w:val="000D0FAD"/>
    <w:rsid w:val="000D6FB5"/>
    <w:rsid w:val="000E350D"/>
    <w:rsid w:val="000E47EE"/>
    <w:rsid w:val="000F6C73"/>
    <w:rsid w:val="00116044"/>
    <w:rsid w:val="00151483"/>
    <w:rsid w:val="00151E1C"/>
    <w:rsid w:val="00164FC4"/>
    <w:rsid w:val="001664D3"/>
    <w:rsid w:val="001851DD"/>
    <w:rsid w:val="001A4DB2"/>
    <w:rsid w:val="001B5C42"/>
    <w:rsid w:val="001B7A14"/>
    <w:rsid w:val="001C49CE"/>
    <w:rsid w:val="001C4D5E"/>
    <w:rsid w:val="001F5F6C"/>
    <w:rsid w:val="001F61D5"/>
    <w:rsid w:val="002045D9"/>
    <w:rsid w:val="00216462"/>
    <w:rsid w:val="002201A7"/>
    <w:rsid w:val="00221AEF"/>
    <w:rsid w:val="00236FA3"/>
    <w:rsid w:val="00251F63"/>
    <w:rsid w:val="0025296B"/>
    <w:rsid w:val="00252D7F"/>
    <w:rsid w:val="002562CE"/>
    <w:rsid w:val="002655BA"/>
    <w:rsid w:val="002664CE"/>
    <w:rsid w:val="00273418"/>
    <w:rsid w:val="00275A40"/>
    <w:rsid w:val="0029485E"/>
    <w:rsid w:val="002977D5"/>
    <w:rsid w:val="002C0D5B"/>
    <w:rsid w:val="002D3629"/>
    <w:rsid w:val="002E72AB"/>
    <w:rsid w:val="002F6EF7"/>
    <w:rsid w:val="00301F3C"/>
    <w:rsid w:val="00330C5E"/>
    <w:rsid w:val="003347E1"/>
    <w:rsid w:val="003408A9"/>
    <w:rsid w:val="0035747E"/>
    <w:rsid w:val="00361359"/>
    <w:rsid w:val="00362014"/>
    <w:rsid w:val="00370B98"/>
    <w:rsid w:val="003733A6"/>
    <w:rsid w:val="00376697"/>
    <w:rsid w:val="0038088A"/>
    <w:rsid w:val="003A7D9D"/>
    <w:rsid w:val="003B73A5"/>
    <w:rsid w:val="003C216C"/>
    <w:rsid w:val="003C6FEA"/>
    <w:rsid w:val="003D3F0E"/>
    <w:rsid w:val="003E4489"/>
    <w:rsid w:val="0040257F"/>
    <w:rsid w:val="0040463B"/>
    <w:rsid w:val="004126A9"/>
    <w:rsid w:val="004344C3"/>
    <w:rsid w:val="00443EB7"/>
    <w:rsid w:val="0044600E"/>
    <w:rsid w:val="004563E2"/>
    <w:rsid w:val="0045676C"/>
    <w:rsid w:val="00467B39"/>
    <w:rsid w:val="004755D8"/>
    <w:rsid w:val="00480EDE"/>
    <w:rsid w:val="004A6245"/>
    <w:rsid w:val="004B461A"/>
    <w:rsid w:val="004C366D"/>
    <w:rsid w:val="004C3846"/>
    <w:rsid w:val="004D7A8A"/>
    <w:rsid w:val="004E3858"/>
    <w:rsid w:val="004E757F"/>
    <w:rsid w:val="004F0827"/>
    <w:rsid w:val="004F5A43"/>
    <w:rsid w:val="005054FF"/>
    <w:rsid w:val="005124AD"/>
    <w:rsid w:val="00524881"/>
    <w:rsid w:val="00535D93"/>
    <w:rsid w:val="00537C9C"/>
    <w:rsid w:val="005443B6"/>
    <w:rsid w:val="00566760"/>
    <w:rsid w:val="0057103D"/>
    <w:rsid w:val="0058224E"/>
    <w:rsid w:val="00586B26"/>
    <w:rsid w:val="00593BAB"/>
    <w:rsid w:val="00595155"/>
    <w:rsid w:val="00595191"/>
    <w:rsid w:val="005A107B"/>
    <w:rsid w:val="005B5E29"/>
    <w:rsid w:val="005D51CB"/>
    <w:rsid w:val="005F6601"/>
    <w:rsid w:val="006030ED"/>
    <w:rsid w:val="00611D13"/>
    <w:rsid w:val="0063236A"/>
    <w:rsid w:val="00632991"/>
    <w:rsid w:val="00640DF1"/>
    <w:rsid w:val="006530D9"/>
    <w:rsid w:val="00656613"/>
    <w:rsid w:val="006714DC"/>
    <w:rsid w:val="00675754"/>
    <w:rsid w:val="006A09A4"/>
    <w:rsid w:val="006A79B1"/>
    <w:rsid w:val="006B0A2F"/>
    <w:rsid w:val="006B3F37"/>
    <w:rsid w:val="006B71DB"/>
    <w:rsid w:val="006D1E83"/>
    <w:rsid w:val="006D6B6E"/>
    <w:rsid w:val="006E0AF4"/>
    <w:rsid w:val="006E2B11"/>
    <w:rsid w:val="007039EB"/>
    <w:rsid w:val="00711D6F"/>
    <w:rsid w:val="00722D3E"/>
    <w:rsid w:val="00725357"/>
    <w:rsid w:val="00733D60"/>
    <w:rsid w:val="00743C31"/>
    <w:rsid w:val="0074443B"/>
    <w:rsid w:val="00746031"/>
    <w:rsid w:val="007727E6"/>
    <w:rsid w:val="00784321"/>
    <w:rsid w:val="007A7518"/>
    <w:rsid w:val="007D3AAC"/>
    <w:rsid w:val="00813F5B"/>
    <w:rsid w:val="0081430C"/>
    <w:rsid w:val="00833888"/>
    <w:rsid w:val="008504B1"/>
    <w:rsid w:val="00861BAB"/>
    <w:rsid w:val="00865354"/>
    <w:rsid w:val="00866364"/>
    <w:rsid w:val="00877B2F"/>
    <w:rsid w:val="00881D3E"/>
    <w:rsid w:val="008865DF"/>
    <w:rsid w:val="00892668"/>
    <w:rsid w:val="008A1F06"/>
    <w:rsid w:val="008A7AA7"/>
    <w:rsid w:val="008C13CE"/>
    <w:rsid w:val="008C3A6A"/>
    <w:rsid w:val="008D4C75"/>
    <w:rsid w:val="008E16ED"/>
    <w:rsid w:val="008E4FCB"/>
    <w:rsid w:val="008F43A2"/>
    <w:rsid w:val="00921731"/>
    <w:rsid w:val="00923E1F"/>
    <w:rsid w:val="00961585"/>
    <w:rsid w:val="009620BA"/>
    <w:rsid w:val="00964D7D"/>
    <w:rsid w:val="009654CB"/>
    <w:rsid w:val="009825FC"/>
    <w:rsid w:val="00987733"/>
    <w:rsid w:val="009A10EE"/>
    <w:rsid w:val="009A22C6"/>
    <w:rsid w:val="009A2F82"/>
    <w:rsid w:val="009B67EE"/>
    <w:rsid w:val="009B7C5E"/>
    <w:rsid w:val="009D4996"/>
    <w:rsid w:val="009E3712"/>
    <w:rsid w:val="009E7FCF"/>
    <w:rsid w:val="00A00EF5"/>
    <w:rsid w:val="00A0664C"/>
    <w:rsid w:val="00A11E63"/>
    <w:rsid w:val="00A12C2D"/>
    <w:rsid w:val="00A33923"/>
    <w:rsid w:val="00A34676"/>
    <w:rsid w:val="00A46D63"/>
    <w:rsid w:val="00A55548"/>
    <w:rsid w:val="00A55E84"/>
    <w:rsid w:val="00A674FB"/>
    <w:rsid w:val="00A701E2"/>
    <w:rsid w:val="00A9306C"/>
    <w:rsid w:val="00A9498B"/>
    <w:rsid w:val="00AA5E40"/>
    <w:rsid w:val="00AB0992"/>
    <w:rsid w:val="00AB0E23"/>
    <w:rsid w:val="00AB2133"/>
    <w:rsid w:val="00AB4422"/>
    <w:rsid w:val="00AB7090"/>
    <w:rsid w:val="00AC5C12"/>
    <w:rsid w:val="00AD228E"/>
    <w:rsid w:val="00AF68BE"/>
    <w:rsid w:val="00B135EB"/>
    <w:rsid w:val="00B232E7"/>
    <w:rsid w:val="00B26746"/>
    <w:rsid w:val="00B46F32"/>
    <w:rsid w:val="00B5136E"/>
    <w:rsid w:val="00B5182D"/>
    <w:rsid w:val="00B560E7"/>
    <w:rsid w:val="00B630B0"/>
    <w:rsid w:val="00B72E64"/>
    <w:rsid w:val="00B74466"/>
    <w:rsid w:val="00B939D3"/>
    <w:rsid w:val="00BA1A79"/>
    <w:rsid w:val="00BA3B43"/>
    <w:rsid w:val="00BB30A0"/>
    <w:rsid w:val="00BC00E1"/>
    <w:rsid w:val="00BC0CD0"/>
    <w:rsid w:val="00BD4556"/>
    <w:rsid w:val="00BD72BF"/>
    <w:rsid w:val="00C1151A"/>
    <w:rsid w:val="00C14711"/>
    <w:rsid w:val="00C16214"/>
    <w:rsid w:val="00C245AF"/>
    <w:rsid w:val="00C34E2B"/>
    <w:rsid w:val="00C35405"/>
    <w:rsid w:val="00C373D9"/>
    <w:rsid w:val="00C5367C"/>
    <w:rsid w:val="00C545DC"/>
    <w:rsid w:val="00C56C70"/>
    <w:rsid w:val="00C615CC"/>
    <w:rsid w:val="00C77546"/>
    <w:rsid w:val="00C9614E"/>
    <w:rsid w:val="00CA4193"/>
    <w:rsid w:val="00CB56E9"/>
    <w:rsid w:val="00CD2919"/>
    <w:rsid w:val="00CD486D"/>
    <w:rsid w:val="00CF2572"/>
    <w:rsid w:val="00D02527"/>
    <w:rsid w:val="00D1431B"/>
    <w:rsid w:val="00D246BE"/>
    <w:rsid w:val="00D32B69"/>
    <w:rsid w:val="00D337E7"/>
    <w:rsid w:val="00D34985"/>
    <w:rsid w:val="00D3765F"/>
    <w:rsid w:val="00D466C8"/>
    <w:rsid w:val="00D571B4"/>
    <w:rsid w:val="00D76168"/>
    <w:rsid w:val="00D956C2"/>
    <w:rsid w:val="00D97B05"/>
    <w:rsid w:val="00DE2065"/>
    <w:rsid w:val="00DF16D2"/>
    <w:rsid w:val="00DF6BAE"/>
    <w:rsid w:val="00E103C5"/>
    <w:rsid w:val="00E21F58"/>
    <w:rsid w:val="00E239C6"/>
    <w:rsid w:val="00E566B8"/>
    <w:rsid w:val="00E56FFD"/>
    <w:rsid w:val="00EA2EC9"/>
    <w:rsid w:val="00EB317F"/>
    <w:rsid w:val="00EC2B7D"/>
    <w:rsid w:val="00EC6214"/>
    <w:rsid w:val="00ED015C"/>
    <w:rsid w:val="00ED3C6D"/>
    <w:rsid w:val="00ED5767"/>
    <w:rsid w:val="00EE0A99"/>
    <w:rsid w:val="00EE100F"/>
    <w:rsid w:val="00EE1CD0"/>
    <w:rsid w:val="00EE473E"/>
    <w:rsid w:val="00F04872"/>
    <w:rsid w:val="00F220C8"/>
    <w:rsid w:val="00F273C9"/>
    <w:rsid w:val="00F3005B"/>
    <w:rsid w:val="00F30D1D"/>
    <w:rsid w:val="00F469BA"/>
    <w:rsid w:val="00F67C00"/>
    <w:rsid w:val="00F702FB"/>
    <w:rsid w:val="00F71D68"/>
    <w:rsid w:val="00F728FC"/>
    <w:rsid w:val="00F73A6D"/>
    <w:rsid w:val="00F73AE9"/>
    <w:rsid w:val="00F80CED"/>
    <w:rsid w:val="00F87308"/>
    <w:rsid w:val="00F963B3"/>
    <w:rsid w:val="00FA7346"/>
    <w:rsid w:val="00FA7778"/>
    <w:rsid w:val="00FB0D2E"/>
    <w:rsid w:val="00FB23F6"/>
    <w:rsid w:val="00FB51D8"/>
    <w:rsid w:val="00FD229A"/>
    <w:rsid w:val="00FF056B"/>
    <w:rsid w:val="00FF1A30"/>
    <w:rsid w:val="00FF2438"/>
    <w:rsid w:val="00FF5C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0423"/>
  <w15:docId w15:val="{A9963933-C30D-4650-BB49-21195092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iPriority="1" w:qFormat="1"/>
    <w:lsdException w:name="Hyperlink" w:semiHidden="1" w:uiPriority="99"/>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A6"/>
    <w:rPr>
      <w:color w:val="373545" w:themeColor="text1"/>
      <w:sz w:val="20"/>
      <w:lang w:val="en-US"/>
    </w:rPr>
  </w:style>
  <w:style w:type="paragraph" w:styleId="Heading1">
    <w:name w:val="heading 1"/>
    <w:basedOn w:val="Normal"/>
    <w:next w:val="Normal"/>
    <w:link w:val="Heading1Char"/>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paragraph" w:styleId="Heading2">
    <w:name w:val="heading 2"/>
    <w:basedOn w:val="Normal"/>
    <w:next w:val="Normal"/>
    <w:link w:val="Heading2Char"/>
    <w:semiHidden/>
    <w:rsid w:val="002045D9"/>
    <w:pPr>
      <w:keepNext/>
      <w:keepLines/>
      <w:spacing w:before="40" w:after="0"/>
      <w:outlineLvl w:val="1"/>
    </w:pPr>
    <w:rPr>
      <w:rFonts w:asciiTheme="majorHAnsi" w:eastAsiaTheme="majorEastAsia" w:hAnsiTheme="majorHAnsi" w:cstheme="majorBidi"/>
      <w:color w:val="1D526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F4"/>
    <w:rPr>
      <w:rFonts w:ascii="Segoe UI" w:hAnsi="Segoe UI" w:cs="Segoe UI"/>
      <w:sz w:val="18"/>
      <w:szCs w:val="18"/>
    </w:rPr>
  </w:style>
  <w:style w:type="paragraph" w:styleId="Title">
    <w:name w:val="Title"/>
    <w:basedOn w:val="Normal"/>
    <w:next w:val="Normal"/>
    <w:link w:val="TitleChar"/>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leChar">
    <w:name w:val="Title Char"/>
    <w:basedOn w:val="DefaultParagraphFont"/>
    <w:link w:val="Title"/>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Heading1Char">
    <w:name w:val="Heading 1 Char"/>
    <w:basedOn w:val="DefaultParagraphFont"/>
    <w:link w:val="Heading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intro">
    <w:name w:val="intro"/>
    <w:basedOn w:val="Normal"/>
    <w:link w:val="introChar"/>
    <w:qFormat/>
    <w:rsid w:val="004C366D"/>
    <w:pPr>
      <w:spacing w:after="200" w:line="240" w:lineRule="auto"/>
    </w:pPr>
    <w:rPr>
      <w:b/>
      <w:sz w:val="28"/>
      <w:szCs w:val="28"/>
    </w:rPr>
  </w:style>
  <w:style w:type="paragraph" w:customStyle="1" w:styleId="bullet">
    <w:name w:val="bullet"/>
    <w:basedOn w:val="Normal"/>
    <w:link w:val="bulletChar"/>
    <w:semiHidden/>
    <w:rsid w:val="00EC6214"/>
    <w:pPr>
      <w:numPr>
        <w:numId w:val="1"/>
      </w:numPr>
      <w:contextualSpacing/>
    </w:pPr>
  </w:style>
  <w:style w:type="paragraph" w:customStyle="1" w:styleId="Checkbox">
    <w:name w:val="Checkbox"/>
    <w:basedOn w:val="bullet"/>
    <w:link w:val="CheckboxChar"/>
    <w:semiHidden/>
    <w:rsid w:val="001851DD"/>
    <w:pPr>
      <w:numPr>
        <w:numId w:val="0"/>
      </w:numPr>
      <w:tabs>
        <w:tab w:val="left" w:pos="426"/>
      </w:tabs>
      <w:ind w:left="426" w:hanging="426"/>
    </w:pPr>
  </w:style>
  <w:style w:type="paragraph" w:styleId="Header">
    <w:name w:val="header"/>
    <w:basedOn w:val="Normal"/>
    <w:link w:val="HeaderChar"/>
    <w:uiPriority w:val="99"/>
    <w:rsid w:val="004755D8"/>
    <w:pPr>
      <w:tabs>
        <w:tab w:val="center" w:pos="4513"/>
        <w:tab w:val="right" w:pos="9026"/>
      </w:tabs>
      <w:spacing w:after="0" w:line="240" w:lineRule="auto"/>
    </w:pPr>
  </w:style>
  <w:style w:type="paragraph" w:styleId="Footer">
    <w:name w:val="footer"/>
    <w:basedOn w:val="Normal"/>
    <w:link w:val="FooterChar"/>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ooterChar">
    <w:name w:val="Footer Char"/>
    <w:basedOn w:val="DefaultParagraphFont"/>
    <w:link w:val="Footer"/>
    <w:semiHidden/>
    <w:rsid w:val="000B5220"/>
    <w:rPr>
      <w:rFonts w:ascii="Arial Black" w:hAnsi="Arial Black"/>
      <w:color w:val="276E8B" w:themeColor="accent1"/>
      <w:sz w:val="20"/>
      <w:lang w:val="en-US"/>
    </w:rPr>
  </w:style>
  <w:style w:type="paragraph" w:customStyle="1" w:styleId="Subtitle1">
    <w:name w:val="Subtitle1"/>
    <w:basedOn w:val="Title"/>
    <w:link w:val="Subtitle1Char"/>
    <w:qFormat/>
    <w:rsid w:val="00C35405"/>
    <w:pPr>
      <w:spacing w:after="0" w:line="240" w:lineRule="auto"/>
    </w:pPr>
    <w:rPr>
      <w:color w:val="398E98" w:themeColor="accent2"/>
      <w:sz w:val="40"/>
    </w:rPr>
  </w:style>
  <w:style w:type="character" w:customStyle="1" w:styleId="bulletChar">
    <w:name w:val="bullet Char"/>
    <w:basedOn w:val="DefaultParagraphFont"/>
    <w:link w:val="bullet"/>
    <w:semiHidden/>
    <w:rsid w:val="000B5220"/>
    <w:rPr>
      <w:color w:val="373545" w:themeColor="text1"/>
      <w:sz w:val="20"/>
      <w:lang w:val="en-US"/>
    </w:rPr>
  </w:style>
  <w:style w:type="character" w:customStyle="1" w:styleId="CheckboxChar">
    <w:name w:val="Checkbox Char"/>
    <w:basedOn w:val="bulletChar"/>
    <w:link w:val="Checkbox"/>
    <w:semiHidden/>
    <w:rsid w:val="000B5220"/>
    <w:rPr>
      <w:color w:val="373545" w:themeColor="text1"/>
      <w:sz w:val="20"/>
      <w:lang w:val="en-US"/>
    </w:rPr>
  </w:style>
  <w:style w:type="character" w:customStyle="1" w:styleId="HeaderChar">
    <w:name w:val="Header Char"/>
    <w:basedOn w:val="DefaultParagraphFont"/>
    <w:link w:val="Header"/>
    <w:uiPriority w:val="99"/>
    <w:rsid w:val="000B5220"/>
    <w:rPr>
      <w:color w:val="373545" w:themeColor="text1"/>
      <w:sz w:val="20"/>
      <w:lang w:val="en-US"/>
    </w:rPr>
  </w:style>
  <w:style w:type="paragraph" w:customStyle="1" w:styleId="Row">
    <w:name w:val="Row"/>
    <w:basedOn w:val="Checkbox"/>
    <w:link w:val="RowChar"/>
    <w:qFormat/>
    <w:rsid w:val="0045676C"/>
    <w:pPr>
      <w:tabs>
        <w:tab w:val="clear" w:pos="426"/>
      </w:tabs>
      <w:spacing w:before="50" w:after="50" w:line="240" w:lineRule="auto"/>
      <w:ind w:left="0" w:firstLine="0"/>
      <w:contextualSpacing w:val="0"/>
    </w:pPr>
  </w:style>
  <w:style w:type="paragraph" w:customStyle="1" w:styleId="rowheading">
    <w:name w:val="row heading"/>
    <w:basedOn w:val="Row"/>
    <w:link w:val="rowheadingChar"/>
    <w:qFormat/>
    <w:rsid w:val="0045676C"/>
    <w:rPr>
      <w:color w:val="FFFFFF" w:themeColor="background1"/>
    </w:rPr>
  </w:style>
  <w:style w:type="character" w:customStyle="1" w:styleId="RowChar">
    <w:name w:val="Row Char"/>
    <w:basedOn w:val="CheckboxChar"/>
    <w:link w:val="Row"/>
    <w:rsid w:val="0045676C"/>
    <w:rPr>
      <w:color w:val="373545" w:themeColor="text1"/>
      <w:sz w:val="20"/>
      <w:lang w:val="en-US"/>
    </w:rPr>
  </w:style>
  <w:style w:type="character" w:customStyle="1" w:styleId="rowheadingChar">
    <w:name w:val="row heading Char"/>
    <w:basedOn w:val="RowChar"/>
    <w:link w:val="rowheading"/>
    <w:rsid w:val="0045676C"/>
    <w:rPr>
      <w:color w:val="FFFFFF" w:themeColor="background1"/>
      <w:sz w:val="20"/>
      <w:lang w:val="en-US"/>
    </w:rPr>
  </w:style>
  <w:style w:type="character" w:styleId="PlaceholderText">
    <w:name w:val="Placeholder Text"/>
    <w:basedOn w:val="DefaultParagraphFont"/>
    <w:semiHidden/>
    <w:rsid w:val="009B67EE"/>
    <w:rPr>
      <w:color w:val="808080"/>
    </w:rPr>
  </w:style>
  <w:style w:type="character" w:customStyle="1" w:styleId="Heading2Char">
    <w:name w:val="Heading 2 Char"/>
    <w:basedOn w:val="DefaultParagraphFont"/>
    <w:link w:val="Heading2"/>
    <w:semiHidden/>
    <w:rsid w:val="002045D9"/>
    <w:rPr>
      <w:rFonts w:asciiTheme="majorHAnsi" w:eastAsiaTheme="majorEastAsia" w:hAnsiTheme="majorHAnsi" w:cstheme="majorBidi"/>
      <w:color w:val="1D5267" w:themeColor="accent1" w:themeShade="BF"/>
      <w:sz w:val="26"/>
      <w:szCs w:val="26"/>
      <w:lang w:val="en-US"/>
    </w:rPr>
  </w:style>
  <w:style w:type="character" w:styleId="Hyperlink">
    <w:name w:val="Hyperlink"/>
    <w:basedOn w:val="DefaultParagraphFont"/>
    <w:uiPriority w:val="99"/>
    <w:unhideWhenUsed/>
    <w:rsid w:val="002045D9"/>
    <w:rPr>
      <w:color w:val="0000FF" w:themeColor="hyperlink"/>
      <w:u w:val="single"/>
    </w:rPr>
  </w:style>
  <w:style w:type="paragraph" w:styleId="NoSpacing">
    <w:name w:val="No Spacing"/>
    <w:uiPriority w:val="1"/>
    <w:qFormat/>
    <w:rsid w:val="002045D9"/>
    <w:pPr>
      <w:spacing w:after="0" w:line="240" w:lineRule="auto"/>
    </w:pPr>
    <w:rPr>
      <w:rFonts w:ascii="Times New Roman" w:hAnsi="Times New Roman"/>
      <w:sz w:val="24"/>
      <w:lang w:val="en-US"/>
    </w:rPr>
  </w:style>
  <w:style w:type="character" w:customStyle="1" w:styleId="markedcontent">
    <w:name w:val="markedcontent"/>
    <w:basedOn w:val="DefaultParagraphFont"/>
    <w:rsid w:val="002045D9"/>
  </w:style>
  <w:style w:type="character" w:styleId="UnresolvedMention">
    <w:name w:val="Unresolved Mention"/>
    <w:basedOn w:val="DefaultParagraphFont"/>
    <w:uiPriority w:val="99"/>
    <w:semiHidden/>
    <w:unhideWhenUsed/>
    <w:rsid w:val="00F30D1D"/>
    <w:rPr>
      <w:color w:val="605E5C"/>
      <w:shd w:val="clear" w:color="auto" w:fill="E1DFDD"/>
    </w:rPr>
  </w:style>
  <w:style w:type="paragraph" w:customStyle="1" w:styleId="rowdate">
    <w:name w:val="row date"/>
    <w:basedOn w:val="intro"/>
    <w:link w:val="rowdateChar"/>
    <w:qFormat/>
    <w:rsid w:val="00301F3C"/>
    <w:rPr>
      <w:sz w:val="24"/>
    </w:rPr>
  </w:style>
  <w:style w:type="character" w:customStyle="1" w:styleId="introChar">
    <w:name w:val="intro Char"/>
    <w:basedOn w:val="DefaultParagraphFont"/>
    <w:link w:val="intro"/>
    <w:rsid w:val="00301F3C"/>
    <w:rPr>
      <w:b/>
      <w:color w:val="373545" w:themeColor="text1"/>
      <w:sz w:val="28"/>
      <w:szCs w:val="28"/>
      <w:lang w:val="en-US"/>
    </w:rPr>
  </w:style>
  <w:style w:type="character" w:customStyle="1" w:styleId="rowdateChar">
    <w:name w:val="row date Char"/>
    <w:basedOn w:val="introChar"/>
    <w:link w:val="rowdate"/>
    <w:rsid w:val="00301F3C"/>
    <w:rPr>
      <w:b/>
      <w:color w:val="373545" w:themeColor="text1"/>
      <w:sz w:val="24"/>
      <w:szCs w:val="28"/>
      <w:lang w:val="en-US"/>
    </w:rPr>
  </w:style>
  <w:style w:type="paragraph" w:styleId="BlockText">
    <w:name w:val="Block Text"/>
    <w:basedOn w:val="Normal"/>
    <w:uiPriority w:val="1"/>
    <w:unhideWhenUsed/>
    <w:qFormat/>
    <w:rsid w:val="00FF5C4E"/>
    <w:pPr>
      <w:spacing w:after="0" w:line="276" w:lineRule="auto"/>
      <w:ind w:right="360"/>
    </w:pPr>
    <w:rPr>
      <w:rFonts w:eastAsiaTheme="minorEastAsia"/>
      <w:iCs/>
      <w:color w:val="9390AA" w:themeColor="text1" w:themeTint="80"/>
      <w:szCs w:val="24"/>
    </w:rPr>
  </w:style>
  <w:style w:type="paragraph" w:customStyle="1" w:styleId="WeekTitle">
    <w:name w:val="Week Title"/>
    <w:basedOn w:val="NoteHeading"/>
    <w:link w:val="WeekTitleChar"/>
    <w:qFormat/>
    <w:rsid w:val="00A701E2"/>
    <w:pPr>
      <w:jc w:val="center"/>
    </w:pPr>
    <w:rPr>
      <w:rFonts w:ascii="Arial Narrow" w:hAnsi="Arial Narrow"/>
      <w:b/>
      <w:color w:val="398E98" w:themeColor="accent2"/>
      <w:sz w:val="32"/>
    </w:rPr>
  </w:style>
  <w:style w:type="character" w:customStyle="1" w:styleId="Subtitle1Char">
    <w:name w:val="Subtitle1 Char"/>
    <w:basedOn w:val="TitleChar"/>
    <w:link w:val="Subtitle1"/>
    <w:rsid w:val="005F6601"/>
    <w:rPr>
      <w:rFonts w:asciiTheme="majorHAnsi" w:eastAsiaTheme="majorEastAsia" w:hAnsiTheme="majorHAnsi" w:cstheme="majorBidi"/>
      <w:caps/>
      <w:color w:val="398E98" w:themeColor="accent2"/>
      <w:kern w:val="28"/>
      <w:sz w:val="40"/>
      <w:szCs w:val="52"/>
      <w:lang w:val="en-US"/>
    </w:rPr>
  </w:style>
  <w:style w:type="character" w:customStyle="1" w:styleId="WeekTitleChar">
    <w:name w:val="Week Title Char"/>
    <w:basedOn w:val="Subtitle1Char"/>
    <w:link w:val="WeekTitle"/>
    <w:rsid w:val="00A701E2"/>
    <w:rPr>
      <w:rFonts w:ascii="Arial Narrow" w:eastAsiaTheme="majorEastAsia" w:hAnsi="Arial Narrow" w:cstheme="majorBidi"/>
      <w:b/>
      <w:caps w:val="0"/>
      <w:color w:val="398E98" w:themeColor="accent2"/>
      <w:kern w:val="28"/>
      <w:sz w:val="32"/>
      <w:szCs w:val="52"/>
      <w:lang w:val="en-US"/>
    </w:rPr>
  </w:style>
  <w:style w:type="paragraph" w:styleId="NoteHeading">
    <w:name w:val="Note Heading"/>
    <w:basedOn w:val="Normal"/>
    <w:next w:val="Normal"/>
    <w:link w:val="NoteHeadingChar"/>
    <w:semiHidden/>
    <w:unhideWhenUsed/>
    <w:rsid w:val="00A701E2"/>
    <w:pPr>
      <w:spacing w:after="0" w:line="240" w:lineRule="auto"/>
    </w:pPr>
  </w:style>
  <w:style w:type="character" w:customStyle="1" w:styleId="NoteHeadingChar">
    <w:name w:val="Note Heading Char"/>
    <w:basedOn w:val="DefaultParagraphFont"/>
    <w:link w:val="NoteHeading"/>
    <w:semiHidden/>
    <w:rsid w:val="00A701E2"/>
    <w:rPr>
      <w:color w:val="373545" w:themeColor="text1"/>
      <w:sz w:val="20"/>
      <w:lang w:val="en-US"/>
    </w:rPr>
  </w:style>
  <w:style w:type="character" w:styleId="SubtleEmphasis">
    <w:name w:val="Subtle Emphasis"/>
    <w:basedOn w:val="DefaultParagraphFont"/>
    <w:uiPriority w:val="19"/>
    <w:qFormat/>
    <w:rsid w:val="00C56C70"/>
    <w:rPr>
      <w:i/>
      <w:iCs/>
      <w:color w:val="625F7C"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integrity.ucsd.edu/excel-integrity/define-cheating/index.html" TargetMode="External"/><Relationship Id="rId18" Type="http://schemas.openxmlformats.org/officeDocument/2006/relationships/hyperlink" Target="https://rainn.org/help-and-healing/hotline/" TargetMode="External"/><Relationship Id="rId26" Type="http://schemas.openxmlformats.org/officeDocument/2006/relationships/hyperlink" Target="https://doi.org/10.1093/0195161920.003.0003" TargetMode="External"/><Relationship Id="rId39" Type="http://schemas.openxmlformats.org/officeDocument/2006/relationships/theme" Target="theme/theme1.xml"/><Relationship Id="rId21" Type="http://schemas.openxmlformats.org/officeDocument/2006/relationships/hyperlink" Target="https://doi.org/10.1093/oxfordhb/9780190842475.013.4" TargetMode="External"/><Relationship Id="rId34" Type="http://schemas.openxmlformats.org/officeDocument/2006/relationships/hyperlink" Target="https://doi.org/10.1177/1357034X251363787"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suicidepreventionlifeline.org" TargetMode="External"/><Relationship Id="rId25" Type="http://schemas.openxmlformats.org/officeDocument/2006/relationships/hyperlink" Target="https://doi.org/10.4324/9781315094106-11" TargetMode="External"/><Relationship Id="rId33" Type="http://schemas.openxmlformats.org/officeDocument/2006/relationships/hyperlink" Target="https://doi.org/10.1007/BF0132283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4135/9781506335483.n11" TargetMode="External"/><Relationship Id="rId29" Type="http://schemas.openxmlformats.org/officeDocument/2006/relationships/hyperlink" Target="https://doi.org/10.1177/08912416032575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gers@ucsd.edu" TargetMode="External"/><Relationship Id="rId24" Type="http://schemas.openxmlformats.org/officeDocument/2006/relationships/hyperlink" Target="https://doi.org/10.1515/9781474471770-023" TargetMode="External"/><Relationship Id="rId32" Type="http://schemas.openxmlformats.org/officeDocument/2006/relationships/hyperlink" Target="https://doi.org/10.1080/09687599727209"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are.ucsd.edu/" TargetMode="External"/><Relationship Id="rId23" Type="http://schemas.openxmlformats.org/officeDocument/2006/relationships/hyperlink" Target="https://doi.org/10.1515/9781474471770-004" TargetMode="External"/><Relationship Id="rId28" Type="http://schemas.openxmlformats.org/officeDocument/2006/relationships/hyperlink" Target="https://doi.org/10.1080/1464789012010078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002/9781119633808.ch6" TargetMode="External"/><Relationship Id="rId31" Type="http://schemas.openxmlformats.org/officeDocument/2006/relationships/hyperlink" Target="https://doi.org/10.18574/nyu/9780814759868.003.0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ate.ucsd.edu/Operating-Procedures/Senate-Manual/Appendices/2" TargetMode="External"/><Relationship Id="rId22" Type="http://schemas.openxmlformats.org/officeDocument/2006/relationships/hyperlink" Target="https://plato.stanford.edu/archives/sum2018/entries/phenomenology/" TargetMode="External"/><Relationship Id="rId27" Type="http://schemas.openxmlformats.org/officeDocument/2006/relationships/hyperlink" Target="https://doi.org/10.1186/s13293-025-00759-8" TargetMode="External"/><Relationship Id="rId30" Type="http://schemas.openxmlformats.org/officeDocument/2006/relationships/hyperlink" Target="https://doi.org/10.1177/089692051876665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ja\AppData\Roaming\Microsoft\Templates\Online%20service%20profile%20worksheet.dotx" TargetMode="External"/></Relationship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2.xml><?xml version="1.0" encoding="utf-8"?>
<ds:datastoreItem xmlns:ds="http://schemas.openxmlformats.org/officeDocument/2006/customXml" ds:itemID="{22E17F87-7B31-4FC1-958E-ADFA03BD9CB1}">
  <ds:schemaRefs>
    <ds:schemaRef ds:uri="http://schemas.openxmlformats.org/officeDocument/2006/bibliography"/>
  </ds:schemaRefs>
</ds:datastoreItem>
</file>

<file path=customXml/itemProps3.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38294-123F-4B9C-AB98-EBCB8664726D}">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Online service profile worksheet</Template>
  <TotalTime>1</TotalTime>
  <Pages>12</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SOCI 120T (Spring, 2026)</vt:lpstr>
    </vt:vector>
  </TitlesOfParts>
  <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 120T (Spring, 2026)</dc:title>
  <dc:subject/>
  <dc:creator>Julia Rogers</dc:creator>
  <cp:keywords/>
  <dc:description/>
  <cp:lastModifiedBy>Julia Rogers</cp:lastModifiedBy>
  <cp:revision>4</cp:revision>
  <dcterms:created xsi:type="dcterms:W3CDTF">2026-04-20T21:44:00Z</dcterms:created>
  <dcterms:modified xsi:type="dcterms:W3CDTF">2026-04-20T21:45:00Z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